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1F6BF7">
      <w:pPr>
        <w:jc w:val="center"/>
        <w:rPr>
          <w:rFonts w:ascii="Times New Roman" w:hAnsi="Times New Roman"/>
          <w:sz w:val="56"/>
          <w:szCs w:val="56"/>
        </w:rPr>
      </w:pPr>
      <w:r w:rsidRPr="00C02AB8">
        <w:rPr>
          <w:rFonts w:ascii="Times New Roman" w:hAnsi="Times New Roman"/>
          <w:sz w:val="56"/>
          <w:szCs w:val="56"/>
        </w:rPr>
        <w:t>Звіт</w:t>
      </w:r>
    </w:p>
    <w:p w:rsidR="00E94965" w:rsidRPr="00C02AB8" w:rsidRDefault="00E94965" w:rsidP="001F6BF7">
      <w:pPr>
        <w:jc w:val="center"/>
        <w:rPr>
          <w:rFonts w:ascii="Times New Roman" w:hAnsi="Times New Roman"/>
          <w:sz w:val="56"/>
          <w:szCs w:val="56"/>
        </w:rPr>
      </w:pPr>
      <w:r w:rsidRPr="00C02AB8">
        <w:rPr>
          <w:rFonts w:ascii="Times New Roman" w:hAnsi="Times New Roman"/>
          <w:sz w:val="56"/>
          <w:szCs w:val="56"/>
        </w:rPr>
        <w:t>про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Pr="00C02AB8">
        <w:rPr>
          <w:rFonts w:ascii="Times New Roman" w:hAnsi="Times New Roman"/>
          <w:sz w:val="56"/>
          <w:szCs w:val="56"/>
        </w:rPr>
        <w:t>управління</w:t>
      </w:r>
    </w:p>
    <w:p w:rsidR="00E94965" w:rsidRPr="00C02AB8" w:rsidRDefault="00E94965" w:rsidP="001F6BF7">
      <w:pPr>
        <w:jc w:val="center"/>
        <w:rPr>
          <w:rFonts w:ascii="Times New Roman" w:hAnsi="Times New Roman"/>
          <w:sz w:val="56"/>
          <w:szCs w:val="56"/>
        </w:rPr>
      </w:pPr>
      <w:r w:rsidRPr="00C02AB8">
        <w:rPr>
          <w:rFonts w:ascii="Times New Roman" w:hAnsi="Times New Roman"/>
          <w:sz w:val="56"/>
          <w:szCs w:val="56"/>
        </w:rPr>
        <w:t>АТ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Pr="00C02AB8">
        <w:rPr>
          <w:rFonts w:ascii="Times New Roman" w:hAnsi="Times New Roman"/>
          <w:sz w:val="56"/>
          <w:szCs w:val="56"/>
        </w:rPr>
        <w:t>«Перший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Pr="00C02AB8">
        <w:rPr>
          <w:rFonts w:ascii="Times New Roman" w:hAnsi="Times New Roman"/>
          <w:sz w:val="56"/>
          <w:szCs w:val="56"/>
        </w:rPr>
        <w:t>київський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Pr="00C02AB8">
        <w:rPr>
          <w:rFonts w:ascii="Times New Roman" w:hAnsi="Times New Roman"/>
          <w:sz w:val="56"/>
          <w:szCs w:val="56"/>
        </w:rPr>
        <w:t>машинобудівний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Pr="00C02AB8">
        <w:rPr>
          <w:rFonts w:ascii="Times New Roman" w:hAnsi="Times New Roman"/>
          <w:sz w:val="56"/>
          <w:szCs w:val="56"/>
        </w:rPr>
        <w:t>завод»</w:t>
      </w:r>
    </w:p>
    <w:p w:rsidR="00E94965" w:rsidRPr="00181D76" w:rsidRDefault="00181D76" w:rsidP="001F6BF7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201</w:t>
      </w:r>
      <w:r w:rsidRPr="00FC4E7D">
        <w:rPr>
          <w:rFonts w:ascii="Times New Roman" w:hAnsi="Times New Roman"/>
          <w:sz w:val="56"/>
          <w:szCs w:val="56"/>
          <w:lang w:val="ru-RU"/>
        </w:rPr>
        <w:t>9</w:t>
      </w:r>
      <w:r w:rsidR="005C12C9">
        <w:rPr>
          <w:rFonts w:ascii="Times New Roman" w:hAnsi="Times New Roman"/>
          <w:sz w:val="56"/>
          <w:szCs w:val="56"/>
        </w:rPr>
        <w:t xml:space="preserve"> </w:t>
      </w:r>
      <w:r w:rsidR="00197832">
        <w:rPr>
          <w:rFonts w:ascii="Times New Roman" w:hAnsi="Times New Roman"/>
          <w:sz w:val="56"/>
          <w:szCs w:val="56"/>
        </w:rPr>
        <w:t xml:space="preserve">рік </w:t>
      </w: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56"/>
          <w:szCs w:val="56"/>
        </w:rPr>
      </w:pPr>
    </w:p>
    <w:p w:rsidR="00E94965" w:rsidRPr="00C02AB8" w:rsidRDefault="00E94965" w:rsidP="005836CD">
      <w:pPr>
        <w:rPr>
          <w:rFonts w:ascii="Times New Roman" w:hAnsi="Times New Roman"/>
          <w:sz w:val="28"/>
          <w:szCs w:val="28"/>
        </w:rPr>
      </w:pPr>
    </w:p>
    <w:p w:rsidR="00E94965" w:rsidRPr="00C02AB8" w:rsidRDefault="00E94965" w:rsidP="000B0CC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Розділ.1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Організаційна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структура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опис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підприємства.</w:t>
      </w:r>
    </w:p>
    <w:p w:rsidR="00E94965" w:rsidRPr="00C02AB8" w:rsidRDefault="00E94965" w:rsidP="0058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4965" w:rsidRPr="00C02AB8" w:rsidRDefault="00E94965" w:rsidP="005836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4965" w:rsidRPr="006A1CF2" w:rsidRDefault="00E94965" w:rsidP="00C3503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“ПКМЗ”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A1CF2">
        <w:rPr>
          <w:rFonts w:ascii="Times New Roman" w:hAnsi="Times New Roman"/>
          <w:sz w:val="28"/>
          <w:szCs w:val="24"/>
          <w:lang w:eastAsia="ru-RU"/>
        </w:rPr>
        <w:t>діяло у 2019 році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підставі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Статуту,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затвердженого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Фондом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державного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майна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України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10.05.2018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6A1CF2">
        <w:rPr>
          <w:rFonts w:ascii="Times New Roman" w:hAnsi="Times New Roman"/>
          <w:sz w:val="28"/>
          <w:szCs w:val="24"/>
          <w:lang w:eastAsia="ru-RU"/>
        </w:rPr>
        <w:t>року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наказом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6A1CF2">
        <w:rPr>
          <w:rFonts w:ascii="Times New Roman" w:hAnsi="Times New Roman"/>
          <w:sz w:val="28"/>
          <w:szCs w:val="24"/>
          <w:lang w:eastAsia="ru-RU"/>
        </w:rPr>
        <w:t>№</w:t>
      </w:r>
      <w:r w:rsidR="005C12C9" w:rsidRPr="006A1CF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A1CF2">
        <w:rPr>
          <w:rFonts w:ascii="Times New Roman" w:hAnsi="Times New Roman"/>
          <w:sz w:val="28"/>
          <w:szCs w:val="24"/>
          <w:lang w:eastAsia="ru-RU"/>
        </w:rPr>
        <w:t>624.</w:t>
      </w:r>
    </w:p>
    <w:p w:rsidR="003932D3" w:rsidRDefault="00015E67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“ПКМЗ”</w:t>
      </w:r>
      <w:r>
        <w:rPr>
          <w:rFonts w:ascii="Times New Roman" w:hAnsi="Times New Roman"/>
          <w:sz w:val="28"/>
          <w:szCs w:val="24"/>
          <w:lang w:eastAsia="ru-RU"/>
        </w:rPr>
        <w:t xml:space="preserve"> (</w:t>
      </w:r>
      <w:r w:rsidR="003932D3" w:rsidRPr="00C02AB8">
        <w:rPr>
          <w:rFonts w:ascii="Times New Roman" w:hAnsi="Times New Roman"/>
          <w:sz w:val="28"/>
          <w:szCs w:val="24"/>
          <w:lang w:eastAsia="ru-RU"/>
        </w:rPr>
        <w:t>ПАТ</w:t>
      </w:r>
      <w:r w:rsidR="00393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932D3" w:rsidRPr="00C02AB8">
        <w:rPr>
          <w:rFonts w:ascii="Times New Roman" w:hAnsi="Times New Roman"/>
          <w:sz w:val="28"/>
          <w:szCs w:val="24"/>
          <w:lang w:eastAsia="ru-RU"/>
        </w:rPr>
        <w:t>«НВП</w:t>
      </w:r>
      <w:r w:rsidR="00393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932D3" w:rsidRPr="00C02AB8">
        <w:rPr>
          <w:rFonts w:ascii="Times New Roman" w:hAnsi="Times New Roman"/>
          <w:sz w:val="28"/>
          <w:szCs w:val="24"/>
          <w:lang w:eastAsia="ru-RU"/>
        </w:rPr>
        <w:t>«Більшовик»</w:t>
      </w:r>
      <w:r>
        <w:rPr>
          <w:rFonts w:ascii="Times New Roman" w:hAnsi="Times New Roman"/>
          <w:sz w:val="28"/>
          <w:szCs w:val="24"/>
          <w:lang w:eastAsia="ru-RU"/>
        </w:rPr>
        <w:t>)</w:t>
      </w:r>
      <w:r w:rsidR="003932D3">
        <w:rPr>
          <w:rFonts w:ascii="Times New Roman" w:hAnsi="Times New Roman"/>
          <w:sz w:val="28"/>
          <w:szCs w:val="24"/>
          <w:lang w:eastAsia="ru-RU"/>
        </w:rPr>
        <w:t xml:space="preserve"> веде свій літопис з липня 1882 року, коли на західній окраїні Києва з’явилось чавуноливарне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та механічне</w:t>
      </w:r>
      <w:r>
        <w:rPr>
          <w:rFonts w:ascii="Times New Roman" w:hAnsi="Times New Roman"/>
          <w:sz w:val="28"/>
          <w:szCs w:val="24"/>
          <w:lang w:eastAsia="ru-RU"/>
        </w:rPr>
        <w:t xml:space="preserve"> підприємство «Київський ливарний і механічний завод» ,перейменований в 1888 році в Акціонерне товариство Гретера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Криванека</w:t>
      </w:r>
      <w:r>
        <w:rPr>
          <w:rFonts w:ascii="Times New Roman" w:hAnsi="Times New Roman"/>
          <w:sz w:val="28"/>
          <w:szCs w:val="24"/>
          <w:lang w:eastAsia="ru-RU"/>
        </w:rPr>
        <w:t xml:space="preserve"> і Ко».</w:t>
      </w:r>
    </w:p>
    <w:p w:rsidR="00015E67" w:rsidRDefault="00015E67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Підприємство займалося виготовленням обладнання для цукрових заводів ,</w:t>
      </w:r>
      <w:r w:rsidR="00810D6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зерносховищ та залізниці. Вже на початок двадцятого століття наше підприємство стає одним з найбільших </w:t>
      </w:r>
      <w:r w:rsidR="00810D68">
        <w:rPr>
          <w:rFonts w:ascii="Times New Roman" w:hAnsi="Times New Roman"/>
          <w:sz w:val="28"/>
          <w:szCs w:val="24"/>
          <w:lang w:eastAsia="ru-RU"/>
        </w:rPr>
        <w:t>в Києві.</w:t>
      </w:r>
    </w:p>
    <w:p w:rsidR="00810D68" w:rsidRDefault="00810D68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F2581" w:rsidRPr="00BF2581">
        <w:rPr>
          <w:rFonts w:ascii="Times New Roman" w:hAnsi="Times New Roman"/>
          <w:sz w:val="28"/>
          <w:szCs w:val="24"/>
          <w:lang w:val="ru-RU" w:eastAsia="ru-RU"/>
        </w:rPr>
        <w:t xml:space="preserve">1922 </w:t>
      </w:r>
      <w:r w:rsidR="00BF2581">
        <w:rPr>
          <w:rFonts w:ascii="Times New Roman" w:hAnsi="Times New Roman"/>
          <w:sz w:val="28"/>
          <w:szCs w:val="24"/>
          <w:lang w:eastAsia="ru-RU"/>
        </w:rPr>
        <w:t>році завод отримує назву –«Більшовик» та починає випускати обладнання для хімічної , а згодом і полімерної промисловості.</w:t>
      </w:r>
    </w:p>
    <w:p w:rsidR="0008221B" w:rsidRDefault="00BF2581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Період між 50-ми та 80-ми роками </w:t>
      </w:r>
      <w:r w:rsidR="0008221B">
        <w:rPr>
          <w:rFonts w:ascii="Times New Roman" w:hAnsi="Times New Roman"/>
          <w:sz w:val="28"/>
          <w:szCs w:val="24"/>
          <w:lang w:eastAsia="ru-RU"/>
        </w:rPr>
        <w:t xml:space="preserve"> відзначається значним розвитком та технічним оновленням підприємства. Освоюється виробництво десятків нових видів обладнання 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8221B">
        <w:rPr>
          <w:rFonts w:ascii="Times New Roman" w:hAnsi="Times New Roman"/>
          <w:sz w:val="28"/>
          <w:szCs w:val="24"/>
          <w:lang w:eastAsia="ru-RU"/>
        </w:rPr>
        <w:t>багато яких є унікальними в світі.</w:t>
      </w:r>
    </w:p>
    <w:p w:rsidR="00BF2581" w:rsidRPr="00BF2581" w:rsidRDefault="0008221B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З 80-х років випускається обладнання для шинних та кабельних заводів, хімкомбінатів 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заводів гумотехнічних виробів 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та заводів з переробки пластмас.</w:t>
      </w:r>
    </w:p>
    <w:p w:rsidR="003932D3" w:rsidRDefault="003932D3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Довгим і важким був шлях розвитку заводу доки він , з останньої чверті ХХ століття 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став провідним підприємством України та країн СНД і Східної Європи – зі створення крупнотонажного , великої одиничної потужності устаткування для переробки гуми ,</w:t>
      </w:r>
      <w:r w:rsid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пластмас та їх відходів.</w:t>
      </w:r>
    </w:p>
    <w:p w:rsidR="00AB09F4" w:rsidRDefault="00B95838" w:rsidP="00AB09F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8221B" w:rsidRPr="00D31C09">
        <w:rPr>
          <w:rFonts w:ascii="Times New Roman" w:hAnsi="Times New Roman"/>
          <w:sz w:val="28"/>
          <w:szCs w:val="28"/>
          <w:lang w:eastAsia="ru-RU"/>
        </w:rPr>
        <w:t>На початок ХХ1 століття завод збільшує об’єми виробництва, розширює спеціалізацію.</w:t>
      </w:r>
    </w:p>
    <w:p w:rsidR="00AB09F4" w:rsidRPr="00D31C09" w:rsidRDefault="00AB09F4" w:rsidP="00AB09F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8221B" w:rsidRPr="00D31C09">
        <w:rPr>
          <w:rFonts w:ascii="Times New Roman" w:hAnsi="Times New Roman"/>
          <w:sz w:val="28"/>
          <w:szCs w:val="28"/>
          <w:lang w:eastAsia="ru-RU"/>
        </w:rPr>
        <w:t>Підприємство експортує  свою продукцію</w:t>
      </w:r>
      <w:r w:rsidR="00D31C09" w:rsidRPr="00D31C09">
        <w:rPr>
          <w:rFonts w:ascii="Times New Roman" w:hAnsi="Times New Roman"/>
          <w:sz w:val="28"/>
          <w:szCs w:val="28"/>
          <w:lang w:eastAsia="ru-RU"/>
        </w:rPr>
        <w:t xml:space="preserve"> в каїни Східної Європи</w:t>
      </w:r>
      <w:r w:rsidR="0008221B" w:rsidRPr="00D31C09">
        <w:rPr>
          <w:rFonts w:ascii="Times New Roman" w:hAnsi="Times New Roman"/>
          <w:sz w:val="28"/>
          <w:szCs w:val="28"/>
          <w:lang w:eastAsia="ru-RU"/>
        </w:rPr>
        <w:t>,</w:t>
      </w:r>
      <w:r w:rsidR="00D31C09" w:rsidRPr="00D31C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США</w:t>
      </w:r>
      <w:r w:rsidRPr="00D31C09">
        <w:rPr>
          <w:rFonts w:ascii="Times New Roman" w:hAnsi="Times New Roman"/>
          <w:sz w:val="28"/>
          <w:szCs w:val="28"/>
          <w:lang w:eastAsia="ru-RU"/>
        </w:rPr>
        <w:t>,</w:t>
      </w:r>
      <w:r w:rsidR="00B9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C09">
        <w:rPr>
          <w:rFonts w:ascii="Times New Roman" w:hAnsi="Times New Roman"/>
          <w:sz w:val="28"/>
          <w:szCs w:val="28"/>
          <w:lang w:eastAsia="ru-RU"/>
        </w:rPr>
        <w:t>Францію,Італію,Данію,Швецію,Норвегію,Великобританію,Германію,Індію,</w:t>
      </w:r>
      <w:r w:rsidR="00B9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1C09">
        <w:rPr>
          <w:rFonts w:ascii="Times New Roman" w:hAnsi="Times New Roman"/>
          <w:sz w:val="28"/>
          <w:szCs w:val="28"/>
          <w:lang w:eastAsia="ru-RU"/>
        </w:rPr>
        <w:t>Шрі-Ланку,Китай,В’</w:t>
      </w:r>
      <w:r w:rsidR="00B95838">
        <w:rPr>
          <w:rFonts w:ascii="Times New Roman" w:hAnsi="Times New Roman"/>
          <w:sz w:val="28"/>
          <w:szCs w:val="28"/>
          <w:lang w:eastAsia="ru-RU"/>
        </w:rPr>
        <w:t>єтнам,Сі</w:t>
      </w:r>
      <w:r w:rsidRPr="00D31C09">
        <w:rPr>
          <w:rFonts w:ascii="Times New Roman" w:hAnsi="Times New Roman"/>
          <w:sz w:val="28"/>
          <w:szCs w:val="28"/>
          <w:lang w:eastAsia="ru-RU"/>
        </w:rPr>
        <w:t>нгапур та багато інших каїн.</w:t>
      </w:r>
    </w:p>
    <w:p w:rsidR="00E94965" w:rsidRPr="00015E67" w:rsidRDefault="00E94965" w:rsidP="000B0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15E67">
        <w:rPr>
          <w:rFonts w:ascii="Times New Roman" w:hAnsi="Times New Roman"/>
          <w:sz w:val="28"/>
          <w:szCs w:val="24"/>
          <w:lang w:eastAsia="ru-RU"/>
        </w:rPr>
        <w:t>АТ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“ПКМЗ”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працює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на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ринку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машинобудування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15E67" w:rsidRPr="00015E67">
        <w:rPr>
          <w:rFonts w:ascii="Times New Roman" w:hAnsi="Times New Roman"/>
          <w:sz w:val="28"/>
          <w:szCs w:val="24"/>
          <w:lang w:eastAsia="ru-RU"/>
        </w:rPr>
        <w:t>137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15E67" w:rsidRPr="00015E67">
        <w:rPr>
          <w:rFonts w:ascii="Times New Roman" w:hAnsi="Times New Roman"/>
          <w:sz w:val="28"/>
          <w:szCs w:val="24"/>
          <w:lang w:eastAsia="ru-RU"/>
        </w:rPr>
        <w:t>років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і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являє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собою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унікальний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комплекс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універсальних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технологічних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можливостей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з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повним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замкнутим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циклом</w:t>
      </w:r>
      <w:r w:rsidR="005C12C9" w:rsidRPr="00015E6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15E67">
        <w:rPr>
          <w:rFonts w:ascii="Times New Roman" w:hAnsi="Times New Roman"/>
          <w:sz w:val="28"/>
          <w:szCs w:val="24"/>
          <w:lang w:eastAsia="ru-RU"/>
        </w:rPr>
        <w:t>виробництва.</w:t>
      </w:r>
    </w:p>
    <w:p w:rsidR="00E94965" w:rsidRPr="00B95838" w:rsidRDefault="00E94965" w:rsidP="000B0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“ПКМЗ”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єдине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Україні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підприємство,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що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розробляє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виготовляє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потужне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устаткування</w:t>
      </w:r>
      <w:r w:rsidR="00AB09F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для хімічної,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гумопереробної,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шинної,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будівельної,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нафтопереробної,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транспортної,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гірнічнобудівної,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B09F4">
        <w:rPr>
          <w:rFonts w:ascii="Times New Roman" w:hAnsi="Times New Roman"/>
          <w:sz w:val="28"/>
          <w:szCs w:val="24"/>
          <w:lang w:eastAsia="ru-RU"/>
        </w:rPr>
        <w:t>енергетичної галузей а також сільського господарства. Товариство пропонує великий вибір готових виробничих ліній та окремих машин ,включаючи всі види технологічного обладнання :</w:t>
      </w:r>
      <w:r w:rsidR="00B95838">
        <w:rPr>
          <w:rFonts w:ascii="Times New Roman" w:hAnsi="Times New Roman"/>
          <w:sz w:val="28"/>
          <w:szCs w:val="24"/>
          <w:lang w:eastAsia="ru-RU"/>
        </w:rPr>
        <w:t xml:space="preserve"> гумозмішувачі, змішувальні вальці</w:t>
      </w:r>
      <w:r w:rsidR="005C12C9" w:rsidRPr="00AB09F4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</w:t>
      </w:r>
      <w:r w:rsidR="00B95838" w:rsidRPr="00B95838">
        <w:rPr>
          <w:rFonts w:ascii="Times New Roman" w:hAnsi="Times New Roman"/>
          <w:sz w:val="28"/>
          <w:szCs w:val="24"/>
          <w:lang w:eastAsia="ru-RU"/>
        </w:rPr>
        <w:t>,екструдери, каландри , шиноперероблюючи лінії , форматори- вулканізатори покришок та різні запасні деталі.</w:t>
      </w:r>
    </w:p>
    <w:p w:rsidR="00B95838" w:rsidRPr="00B95838" w:rsidRDefault="00B95838" w:rsidP="000B0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B95838">
        <w:rPr>
          <w:rFonts w:ascii="Times New Roman" w:hAnsi="Times New Roman"/>
          <w:sz w:val="28"/>
          <w:szCs w:val="24"/>
          <w:lang w:eastAsia="ru-RU"/>
        </w:rPr>
        <w:t>Більшу частину продукції , яку виготовляє «Перший київський машинобудівний завод» не виготовляє жодне підприємство України.</w:t>
      </w:r>
    </w:p>
    <w:p w:rsidR="00E94965" w:rsidRDefault="00E94965" w:rsidP="00C3503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</w:p>
    <w:p w:rsidR="00B95838" w:rsidRDefault="00B95838" w:rsidP="00C3503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</w:p>
    <w:p w:rsidR="00B95838" w:rsidRDefault="00B95838" w:rsidP="00C3503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</w:p>
    <w:p w:rsidR="00B95838" w:rsidRPr="00C02AB8" w:rsidRDefault="00B95838" w:rsidP="00C3503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ru-RU"/>
        </w:rPr>
      </w:pPr>
    </w:p>
    <w:p w:rsidR="00E94965" w:rsidRDefault="00E94965" w:rsidP="00F618FA">
      <w:pPr>
        <w:spacing w:after="0"/>
        <w:jc w:val="center"/>
        <w:rPr>
          <w:rFonts w:ascii="Times New Roman" w:hAnsi="Times New Roman"/>
          <w:b/>
          <w:sz w:val="28"/>
          <w:lang w:eastAsia="ru-RU"/>
        </w:rPr>
      </w:pPr>
      <w:r w:rsidRPr="00C02AB8">
        <w:rPr>
          <w:rFonts w:ascii="Times New Roman" w:hAnsi="Times New Roman"/>
          <w:b/>
          <w:sz w:val="28"/>
          <w:lang w:eastAsia="ru-RU"/>
        </w:rPr>
        <w:lastRenderedPageBreak/>
        <w:t>Основні</w:t>
      </w:r>
      <w:r w:rsidR="005C12C9">
        <w:rPr>
          <w:rFonts w:ascii="Times New Roman" w:hAnsi="Times New Roman"/>
          <w:b/>
          <w:sz w:val="28"/>
          <w:lang w:eastAsia="ru-RU"/>
        </w:rPr>
        <w:t xml:space="preserve"> </w:t>
      </w:r>
      <w:r w:rsidRPr="00C02AB8">
        <w:rPr>
          <w:rFonts w:ascii="Times New Roman" w:hAnsi="Times New Roman"/>
          <w:b/>
          <w:sz w:val="28"/>
          <w:lang w:eastAsia="ru-RU"/>
        </w:rPr>
        <w:t>відомості</w:t>
      </w:r>
      <w:r w:rsidR="005C12C9">
        <w:rPr>
          <w:rFonts w:ascii="Times New Roman" w:hAnsi="Times New Roman"/>
          <w:b/>
          <w:sz w:val="28"/>
          <w:lang w:eastAsia="ru-RU"/>
        </w:rPr>
        <w:t xml:space="preserve"> </w:t>
      </w:r>
      <w:r w:rsidRPr="00C02AB8">
        <w:rPr>
          <w:rFonts w:ascii="Times New Roman" w:hAnsi="Times New Roman"/>
          <w:b/>
          <w:sz w:val="28"/>
          <w:lang w:eastAsia="ru-RU"/>
        </w:rPr>
        <w:t>про</w:t>
      </w:r>
      <w:r w:rsidR="005C12C9">
        <w:rPr>
          <w:rFonts w:ascii="Times New Roman" w:hAnsi="Times New Roman"/>
          <w:b/>
          <w:sz w:val="28"/>
          <w:lang w:eastAsia="ru-RU"/>
        </w:rPr>
        <w:t xml:space="preserve"> </w:t>
      </w:r>
      <w:r w:rsidRPr="00C02AB8">
        <w:rPr>
          <w:rFonts w:ascii="Times New Roman" w:hAnsi="Times New Roman"/>
          <w:b/>
          <w:sz w:val="28"/>
          <w:lang w:eastAsia="ru-RU"/>
        </w:rPr>
        <w:t>акціонерне</w:t>
      </w:r>
      <w:r w:rsidR="005C12C9">
        <w:rPr>
          <w:rFonts w:ascii="Times New Roman" w:hAnsi="Times New Roman"/>
          <w:b/>
          <w:sz w:val="28"/>
          <w:lang w:eastAsia="ru-RU"/>
        </w:rPr>
        <w:t xml:space="preserve"> </w:t>
      </w:r>
      <w:r w:rsidRPr="00C02AB8">
        <w:rPr>
          <w:rFonts w:ascii="Times New Roman" w:hAnsi="Times New Roman"/>
          <w:b/>
          <w:sz w:val="28"/>
          <w:lang w:eastAsia="ru-RU"/>
        </w:rPr>
        <w:t>товариство</w:t>
      </w:r>
      <w:r w:rsidR="005C12C9">
        <w:rPr>
          <w:rFonts w:ascii="Times New Roman" w:hAnsi="Times New Roman"/>
          <w:b/>
          <w:sz w:val="28"/>
          <w:lang w:eastAsia="ru-RU"/>
        </w:rPr>
        <w:t xml:space="preserve"> </w:t>
      </w:r>
      <w:r w:rsidRPr="00C02AB8">
        <w:rPr>
          <w:rFonts w:ascii="Times New Roman" w:hAnsi="Times New Roman"/>
          <w:b/>
          <w:sz w:val="28"/>
          <w:lang w:eastAsia="ru-RU"/>
        </w:rPr>
        <w:t>„ПКМЗ”</w:t>
      </w:r>
    </w:p>
    <w:p w:rsidR="002D7B06" w:rsidRPr="00C02AB8" w:rsidRDefault="002D7B06" w:rsidP="00F618FA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603"/>
        <w:gridCol w:w="5836"/>
      </w:tblGrid>
      <w:tr w:rsidR="00E94965" w:rsidRPr="00C02AB8" w:rsidTr="00AB09F4">
        <w:trPr>
          <w:trHeight w:val="356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Повна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1" w:type="pct"/>
            <w:vAlign w:val="center"/>
          </w:tcPr>
          <w:p w:rsidR="00E94965" w:rsidRPr="00CB04A4" w:rsidRDefault="00E94965" w:rsidP="00D37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АКЦІОНЕРНЕ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ТОВАРИСТВО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„Перший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машинобудівний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завод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E94965" w:rsidRPr="00C02AB8" w:rsidTr="00AB09F4">
        <w:trPr>
          <w:trHeight w:val="125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Скорочена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АТ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«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ПКМЗ»</w:t>
            </w:r>
          </w:p>
        </w:tc>
      </w:tr>
      <w:tr w:rsidR="00E94965" w:rsidRPr="00C02AB8" w:rsidTr="00AB09F4">
        <w:trPr>
          <w:trHeight w:val="95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ЄДПРПОУ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14308569</w:t>
            </w:r>
          </w:p>
        </w:tc>
      </w:tr>
      <w:tr w:rsidR="00E94965" w:rsidRPr="00C02AB8" w:rsidTr="00AB09F4">
        <w:trPr>
          <w:trHeight w:val="70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знаходження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Україна,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0DE" w:rsidRPr="00CB04A4">
              <w:rPr>
                <w:rFonts w:ascii="Times New Roman" w:hAnsi="Times New Roman"/>
                <w:sz w:val="24"/>
                <w:szCs w:val="24"/>
              </w:rPr>
              <w:t>03057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м.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Київ,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Перемоги,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49/2</w:t>
            </w:r>
            <w:r w:rsidR="00F618FA" w:rsidRPr="00CB04A4">
              <w:rPr>
                <w:rFonts w:ascii="Times New Roman" w:hAnsi="Times New Roman"/>
                <w:sz w:val="24"/>
                <w:szCs w:val="24"/>
              </w:rPr>
              <w:t>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Міжміський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телефон,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044-456-71-41</w:t>
            </w:r>
          </w:p>
        </w:tc>
      </w:tr>
      <w:tr w:rsidR="00E94965" w:rsidRPr="00C02AB8" w:rsidTr="00AB09F4">
        <w:trPr>
          <w:trHeight w:val="589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державної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реєстрації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Свідоцтво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серії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А01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№376060,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державної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27.12.1994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р.,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зміни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свідоцтва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державну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(зміна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юридичної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особи)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22.04.2010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р.,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№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10731050011003149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від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29.04.2010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р.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965" w:rsidRPr="00C02AB8" w:rsidTr="00AB09F4">
        <w:trPr>
          <w:trHeight w:val="70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Організаційно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правова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Акціонерне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товариство</w:t>
            </w:r>
          </w:p>
        </w:tc>
      </w:tr>
      <w:tr w:rsidR="00E94965" w:rsidRPr="00C02AB8" w:rsidTr="00AB09F4">
        <w:trPr>
          <w:trHeight w:val="666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Особливі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ознаки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1" w:type="pct"/>
          </w:tcPr>
          <w:p w:rsidR="00E94965" w:rsidRPr="00CB04A4" w:rsidRDefault="00A31CB7" w:rsidP="00A31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Було в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ключене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до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переліку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підприємств,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що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мають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стратегічне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економіки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та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965" w:rsidRPr="00CB04A4">
              <w:rPr>
                <w:rFonts w:ascii="Times New Roman" w:hAnsi="Times New Roman"/>
                <w:sz w:val="24"/>
                <w:szCs w:val="24"/>
              </w:rPr>
              <w:t>держави.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965" w:rsidRPr="00C02AB8" w:rsidTr="00AB09F4">
        <w:trPr>
          <w:trHeight w:val="1005"/>
        </w:trPr>
        <w:tc>
          <w:tcPr>
            <w:tcW w:w="211" w:type="pct"/>
          </w:tcPr>
          <w:p w:rsidR="00E94965" w:rsidRPr="00C02AB8" w:rsidRDefault="00E94965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28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Площа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земельної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ділянки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інфраструктура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</w:rPr>
              <w:t>підприємства</w:t>
            </w:r>
          </w:p>
        </w:tc>
        <w:tc>
          <w:tcPr>
            <w:tcW w:w="2961" w:type="pct"/>
          </w:tcPr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4A4">
              <w:rPr>
                <w:rFonts w:ascii="Times New Roman" w:hAnsi="Times New Roman"/>
                <w:sz w:val="24"/>
                <w:szCs w:val="24"/>
              </w:rPr>
              <w:t>Земельна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ділянка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35,43</w:t>
            </w:r>
            <w:r w:rsidR="005C12C9" w:rsidRPr="00CB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E94965" w:rsidRPr="00CB04A4" w:rsidRDefault="00E94965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80" w:rsidRPr="00C02AB8" w:rsidTr="00AB09F4">
        <w:trPr>
          <w:trHeight w:val="310"/>
        </w:trPr>
        <w:tc>
          <w:tcPr>
            <w:tcW w:w="211" w:type="pct"/>
          </w:tcPr>
          <w:p w:rsidR="00D37E80" w:rsidRPr="00C02AB8" w:rsidRDefault="00D37E80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Орган,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що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видав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свідоцтво</w:t>
            </w:r>
          </w:p>
        </w:tc>
        <w:tc>
          <w:tcPr>
            <w:tcW w:w="2961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Солом’янська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районна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адміністрація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Києві</w:t>
            </w:r>
          </w:p>
        </w:tc>
      </w:tr>
      <w:tr w:rsidR="00D37E80" w:rsidRPr="00C02AB8" w:rsidTr="00AB09F4">
        <w:trPr>
          <w:trHeight w:val="274"/>
        </w:trPr>
        <w:tc>
          <w:tcPr>
            <w:tcW w:w="211" w:type="pct"/>
          </w:tcPr>
          <w:p w:rsidR="00D37E80" w:rsidRPr="00C02AB8" w:rsidRDefault="00D37E80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pct"/>
            <w:vAlign w:val="center"/>
          </w:tcPr>
          <w:p w:rsidR="00D37E80" w:rsidRPr="00CB04A4" w:rsidRDefault="00D37E80" w:rsidP="00F618F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Зареєстрований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статутний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капітал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2961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D37E80" w:rsidRPr="00C02AB8" w:rsidTr="00AB09F4">
        <w:trPr>
          <w:trHeight w:val="1500"/>
        </w:trPr>
        <w:tc>
          <w:tcPr>
            <w:tcW w:w="211" w:type="pct"/>
          </w:tcPr>
          <w:p w:rsidR="00D37E80" w:rsidRPr="00C02AB8" w:rsidRDefault="00D37E80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8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Основні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види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961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28.99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інших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машин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устаткування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спеціального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призначення;</w:t>
            </w:r>
          </w:p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28.29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інших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машин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устаткування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загального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призначення;</w:t>
            </w:r>
          </w:p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33.12-Ремонт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машин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устаткування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промислового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призначення;</w:t>
            </w:r>
          </w:p>
          <w:p w:rsidR="002D7B06" w:rsidRDefault="00D37E80" w:rsidP="002D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68.20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оренду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експлуатацію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власного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нерухомого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майна.</w:t>
            </w:r>
          </w:p>
          <w:p w:rsidR="002D7B06" w:rsidRPr="002D7B06" w:rsidRDefault="002D7B06" w:rsidP="002D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B06">
              <w:rPr>
                <w:rFonts w:ascii="Times New Roman" w:hAnsi="Times New Roman"/>
                <w:sz w:val="24"/>
                <w:szCs w:val="24"/>
              </w:rPr>
              <w:t>33.20 Установлення та монтаж машин і устатковання</w:t>
            </w:r>
          </w:p>
          <w:p w:rsidR="00CB04A4" w:rsidRPr="00CB04A4" w:rsidRDefault="00CB04A4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7E80" w:rsidRPr="00C02AB8" w:rsidTr="002D7B06">
        <w:trPr>
          <w:trHeight w:val="462"/>
        </w:trPr>
        <w:tc>
          <w:tcPr>
            <w:tcW w:w="211" w:type="pct"/>
          </w:tcPr>
          <w:p w:rsidR="00D37E80" w:rsidRPr="00C02AB8" w:rsidRDefault="00D37E80" w:rsidP="00D3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8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r w:rsidR="005C12C9"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акціонерів</w:t>
            </w:r>
          </w:p>
        </w:tc>
        <w:tc>
          <w:tcPr>
            <w:tcW w:w="2961" w:type="pct"/>
            <w:vAlign w:val="center"/>
          </w:tcPr>
          <w:p w:rsidR="00D37E80" w:rsidRPr="00CB04A4" w:rsidRDefault="00D37E80" w:rsidP="00F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12C9"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4A4">
              <w:rPr>
                <w:rFonts w:ascii="Times New Roman" w:hAnsi="Times New Roman"/>
                <w:sz w:val="24"/>
                <w:szCs w:val="24"/>
                <w:lang w:eastAsia="ru-RU"/>
              </w:rPr>
              <w:t>(один)-ФДМУкраїни</w:t>
            </w:r>
          </w:p>
        </w:tc>
      </w:tr>
    </w:tbl>
    <w:p w:rsidR="00070935" w:rsidRDefault="00070935" w:rsidP="00AB09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B09F4" w:rsidRPr="00C02AB8" w:rsidRDefault="00AB09F4" w:rsidP="00AB09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“ПКМЗ”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(ПАТ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«НВП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«Більшовик»)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засновано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відповідно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рішення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Міністерства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машинобудування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C02AB8">
        <w:rPr>
          <w:rFonts w:ascii="Times New Roman" w:hAnsi="Times New Roman"/>
          <w:sz w:val="28"/>
          <w:szCs w:val="24"/>
          <w:lang w:eastAsia="ru-RU"/>
        </w:rPr>
        <w:t>військово-промислового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комплексу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конверсії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України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13.12.1994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року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1570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шляхом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перетворення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Київського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державного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машинобудівного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заводу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“Більшовик”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відкрите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акціонерне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товариство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відповідно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Указу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Президента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України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“Про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корпоратизацію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державних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підприємств”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15.06.1993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року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210.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АТ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«ПКМЗ»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Pr="00C02AB8">
        <w:rPr>
          <w:rFonts w:ascii="Times New Roman" w:hAnsi="Times New Roman"/>
          <w:sz w:val="28"/>
          <w:szCs w:val="20"/>
          <w:lang w:eastAsia="ru-RU"/>
        </w:rPr>
        <w:t>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господарським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товариством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має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організаційно-правову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форму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акціонерного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статутному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фонді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якого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100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%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акцій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належить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державі.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Заявлений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статутний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капітал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АТ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„ПКМЗ”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складає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11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144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930</w:t>
      </w:r>
      <w:r w:rsidR="005C12C9">
        <w:rPr>
          <w:rFonts w:ascii="Times New Roman" w:hAnsi="Times New Roman"/>
          <w:b/>
          <w:i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0"/>
          <w:lang w:eastAsia="ru-RU"/>
        </w:rPr>
        <w:t>гривень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поділений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44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579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720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простих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іменних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акцій,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номінальною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вартістю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0,25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грн.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кожна.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lastRenderedPageBreak/>
        <w:t>Управління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Товариством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здійснюють:</w:t>
      </w:r>
    </w:p>
    <w:p w:rsidR="005C12C9" w:rsidRDefault="00E94965" w:rsidP="005C12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Фонд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державного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майна,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який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виконує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повноваження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загальних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зборів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акціонерів-Вищий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орган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Товариства;</w:t>
      </w:r>
    </w:p>
    <w:p w:rsidR="005C12C9" w:rsidRDefault="00E94965" w:rsidP="005C12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C12C9">
        <w:rPr>
          <w:rFonts w:ascii="Times New Roman" w:hAnsi="Times New Roman"/>
          <w:sz w:val="28"/>
          <w:szCs w:val="20"/>
          <w:lang w:eastAsia="ru-RU"/>
        </w:rPr>
        <w:t>Наглядова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рада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;</w:t>
      </w:r>
    </w:p>
    <w:p w:rsidR="005C12C9" w:rsidRDefault="00E94965" w:rsidP="005C12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C12C9">
        <w:rPr>
          <w:rFonts w:ascii="Times New Roman" w:hAnsi="Times New Roman"/>
          <w:sz w:val="28"/>
          <w:szCs w:val="20"/>
          <w:lang w:eastAsia="ru-RU"/>
        </w:rPr>
        <w:t>Правління-виконавчий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орган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Товариства;</w:t>
      </w:r>
    </w:p>
    <w:p w:rsidR="00E94965" w:rsidRPr="005C12C9" w:rsidRDefault="00E94965" w:rsidP="005C12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C12C9">
        <w:rPr>
          <w:rFonts w:ascii="Times New Roman" w:hAnsi="Times New Roman"/>
          <w:sz w:val="28"/>
          <w:szCs w:val="20"/>
          <w:lang w:eastAsia="ru-RU"/>
        </w:rPr>
        <w:t>Ревізійна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комісія</w:t>
      </w:r>
      <w:r w:rsidR="005C12C9" w:rsidRP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0"/>
          <w:lang w:eastAsia="ru-RU"/>
        </w:rPr>
        <w:t>.</w:t>
      </w:r>
    </w:p>
    <w:p w:rsidR="00E94965" w:rsidRPr="00C02AB8" w:rsidRDefault="00E94965" w:rsidP="00D37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До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основної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спеціалізації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відноситься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створення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(розробка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креслень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виготовлення)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машин,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агрегатів,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автоматизованих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ліній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автомобільних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тракторних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гумотехнічних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пластмасових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труб,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профілів,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плівок,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листів,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т.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ч.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деревно-полімерних,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F618FA" w:rsidRPr="00C02AB8">
        <w:rPr>
          <w:rFonts w:ascii="Times New Roman" w:hAnsi="Times New Roman"/>
          <w:sz w:val="28"/>
          <w:szCs w:val="28"/>
        </w:rPr>
        <w:t>є</w:t>
      </w:r>
      <w:r w:rsidR="00ED4882">
        <w:rPr>
          <w:rFonts w:ascii="Times New Roman" w:hAnsi="Times New Roman"/>
          <w:sz w:val="28"/>
          <w:szCs w:val="28"/>
        </w:rPr>
        <w:t>’</w:t>
      </w:r>
      <w:r w:rsidR="00AA2D70">
        <w:rPr>
          <w:rFonts w:ascii="Times New Roman" w:hAnsi="Times New Roman"/>
          <w:sz w:val="28"/>
          <w:szCs w:val="28"/>
        </w:rPr>
        <w:t>мк</w:t>
      </w:r>
      <w:r w:rsidRPr="00C02AB8">
        <w:rPr>
          <w:rFonts w:ascii="Times New Roman" w:hAnsi="Times New Roman"/>
          <w:sz w:val="28"/>
          <w:szCs w:val="28"/>
        </w:rPr>
        <w:t>остей,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гранул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накладання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гумової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пластикової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ізоляції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проводи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кабелі,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подрібнення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переробки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полімерних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відходів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тощо.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Номенклатура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продукції,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серійне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виготовлення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якої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освоїв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завод,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включає:</w:t>
      </w:r>
    </w:p>
    <w:p w:rsidR="00E94965" w:rsidRPr="00C02AB8" w:rsidRDefault="00C02AB8" w:rsidP="00C02AB8">
      <w:pPr>
        <w:pStyle w:val="a8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  <w:lang w:val="ru-RU"/>
        </w:rPr>
        <w:t>О</w:t>
      </w:r>
      <w:r w:rsidR="00E94965" w:rsidRPr="00C02AB8">
        <w:rPr>
          <w:rFonts w:ascii="Times New Roman" w:hAnsi="Times New Roman"/>
          <w:sz w:val="28"/>
          <w:szCs w:val="28"/>
        </w:rPr>
        <w:t>бладнання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переробки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гуми: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гумозмішувачі,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вальці,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каландри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різних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типів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призначення;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форматори-вулканізатори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форматори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вулканізатори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крупно-габаритних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шин;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черв’ячні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екструдери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лінії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їх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базі;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лінії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обкладання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гумою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металокорду;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девулка</w:t>
      </w:r>
      <w:r w:rsidR="00CC4669">
        <w:rPr>
          <w:rFonts w:ascii="Times New Roman" w:hAnsi="Times New Roman"/>
          <w:sz w:val="28"/>
          <w:szCs w:val="28"/>
        </w:rPr>
        <w:t>ні</w:t>
      </w:r>
      <w:r w:rsidRPr="00C02AB8">
        <w:rPr>
          <w:rFonts w:ascii="Times New Roman" w:hAnsi="Times New Roman"/>
          <w:sz w:val="28"/>
          <w:szCs w:val="28"/>
        </w:rPr>
        <w:t>затори.</w:t>
      </w:r>
    </w:p>
    <w:p w:rsidR="00E94965" w:rsidRPr="00C02AB8" w:rsidRDefault="00E94965" w:rsidP="00C02AB8">
      <w:pPr>
        <w:pStyle w:val="a8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Обладнання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переробки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пластмас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хімічної,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електротехнічної,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місцевої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промисловості,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будпластмас):</w:t>
      </w:r>
    </w:p>
    <w:p w:rsidR="00E94965" w:rsidRPr="00C02AB8" w:rsidRDefault="00E94965" w:rsidP="00D37E80">
      <w:pPr>
        <w:pStyle w:val="a8"/>
        <w:numPr>
          <w:ilvl w:val="0"/>
          <w:numId w:val="2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черв’ячні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екструдери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технологічні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лінії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їх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базі,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т.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ч.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гранулювання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пластмас,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виготовлення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різних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виробів.</w:t>
      </w:r>
    </w:p>
    <w:p w:rsidR="00E94965" w:rsidRPr="00C02AB8" w:rsidRDefault="00E94965" w:rsidP="00C02AB8">
      <w:pPr>
        <w:pStyle w:val="a8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Автоматизовані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технологічні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лінії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накладання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гумової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або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пластмасової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ізоляції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кабелі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проводи.</w:t>
      </w:r>
    </w:p>
    <w:p w:rsidR="00E94965" w:rsidRPr="00C02AB8" w:rsidRDefault="00E94965" w:rsidP="00D37E80">
      <w:pPr>
        <w:pStyle w:val="a8"/>
        <w:numPr>
          <w:ilvl w:val="0"/>
          <w:numId w:val="20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Обладнання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подрібнення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переробки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гумових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або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пластмасових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відходів.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Багато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років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завод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виготовляв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оборонну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техніку,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випуск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якої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складав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більше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20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відсотків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загального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обсягу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продукції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підприємства.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Машинобудівна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продукція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заводу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оснащується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сучасними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засобами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автоматизації,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тому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числі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удосконаленими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мікропроцесорними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пристроями,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що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дозволяє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організувати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системи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керування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контролю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тільки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одного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агрегату,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цілого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цеху,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змонтовані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одночасно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експлуатуються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багато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машин.</w:t>
      </w:r>
      <w:r w:rsidR="005C12C9">
        <w:rPr>
          <w:rFonts w:ascii="Times New Roman" w:hAnsi="Times New Roman"/>
          <w:sz w:val="28"/>
          <w:szCs w:val="28"/>
        </w:rPr>
        <w:t xml:space="preserve"> 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АТ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«ПКМЗ»</w:t>
      </w:r>
      <w:r w:rsidR="005C12C9">
        <w:rPr>
          <w:rFonts w:ascii="Times New Roman" w:hAnsi="Times New Roman"/>
          <w:sz w:val="28"/>
          <w:szCs w:val="28"/>
        </w:rPr>
        <w:t xml:space="preserve"> – </w:t>
      </w:r>
      <w:r w:rsidRPr="00C02AB8">
        <w:rPr>
          <w:rFonts w:ascii="Times New Roman" w:hAnsi="Times New Roman"/>
          <w:sz w:val="28"/>
          <w:szCs w:val="28"/>
        </w:rPr>
        <w:t>єдине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Україні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СНД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підприємство,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здатне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виготовляти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продукцію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названої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спеціалізації,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Києві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це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найбільший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фактично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єдиний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індустріальний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комплекс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повним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циклом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машинобудівного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виробництва.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2AB8">
        <w:rPr>
          <w:rFonts w:ascii="Times New Roman" w:hAnsi="Times New Roman"/>
          <w:sz w:val="28"/>
          <w:szCs w:val="28"/>
        </w:rPr>
        <w:t>Машини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агрегати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товарним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знаком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«Більшовика»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багато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років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успішно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поставлялись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зараз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працюють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сотнях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України</w:t>
      </w:r>
      <w:r w:rsidR="005C12C9">
        <w:rPr>
          <w:rFonts w:ascii="Times New Roman" w:hAnsi="Times New Roman"/>
          <w:sz w:val="28"/>
          <w:szCs w:val="28"/>
        </w:rPr>
        <w:t xml:space="preserve"> 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країн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lastRenderedPageBreak/>
        <w:t>СНД,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Індії,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Шрі-Ланки,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В’єтнаму,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США,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Китаю,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Данії,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Сербії,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Швеції,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Німеччини,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Австрії,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Франції,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Великої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Британії,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Італії,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Куби.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структурі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:</w:t>
      </w:r>
    </w:p>
    <w:p w:rsidR="00E94965" w:rsidRPr="00C02AB8" w:rsidRDefault="00E94965" w:rsidP="000B0CC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металообробне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виробництво;</w:t>
      </w:r>
    </w:p>
    <w:p w:rsidR="00E94965" w:rsidRPr="00C02AB8" w:rsidRDefault="00E94965" w:rsidP="000B0CC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складальне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,механоскладальне;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складально-зварювальне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виробництво;</w:t>
      </w:r>
    </w:p>
    <w:p w:rsidR="00E94965" w:rsidRPr="00C02AB8" w:rsidRDefault="00E94965" w:rsidP="000B0CC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термічний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інструментальний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електроремонтний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будівельно-ремонтний,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автотранспортний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цех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інші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виробничі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підрозділи.</w:t>
      </w:r>
    </w:p>
    <w:p w:rsidR="00D37E80" w:rsidRPr="00C02AB8" w:rsidRDefault="00E94965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За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організаційною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структурою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являє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собою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традиційну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модель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підприємства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повним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закінченим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циклом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виробництва,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який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забезпечується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складною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потужною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структурою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основного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допоміжного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обслуговуючого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виробництва.</w:t>
      </w:r>
    </w:p>
    <w:p w:rsidR="00D37E80" w:rsidRPr="00C02AB8" w:rsidRDefault="00E94965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</w:rPr>
        <w:t>До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конкурентних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видів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продукції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належать: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Форматори-вулканізатори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Вулканізатори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надкрупногабаритних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Гумозмішувачі,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Змішувачі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періодичної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дії,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Вальці,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Черв’ячні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машини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агрегати,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Каландри,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Лінії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накладення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ізоляції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кабелю,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Черв'ячні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преси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(екструдери),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обладнання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переробки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зношених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товари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народного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побуту.</w:t>
      </w:r>
      <w:r w:rsidR="005C12C9">
        <w:rPr>
          <w:rFonts w:ascii="Times New Roman" w:hAnsi="Times New Roman"/>
          <w:sz w:val="28"/>
          <w:szCs w:val="28"/>
        </w:rPr>
        <w:t xml:space="preserve"> </w:t>
      </w:r>
    </w:p>
    <w:p w:rsidR="00D37E80" w:rsidRPr="00C02AB8" w:rsidRDefault="00E94965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</w:rPr>
        <w:t>Конкуренти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заводу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це</w:t>
      </w:r>
      <w:r w:rsidR="00AA2D70">
        <w:rPr>
          <w:rFonts w:ascii="Times New Roman" w:hAnsi="Times New Roman"/>
          <w:sz w:val="28"/>
          <w:szCs w:val="28"/>
        </w:rPr>
        <w:t xml:space="preserve"> підприємства </w:t>
      </w:r>
      <w:r w:rsidRPr="00C02AB8">
        <w:rPr>
          <w:rFonts w:ascii="Times New Roman" w:hAnsi="Times New Roman"/>
          <w:sz w:val="28"/>
          <w:szCs w:val="28"/>
        </w:rPr>
        <w:t>: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Krupp,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Herbert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(Германія),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Mitsubishi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(Японія)</w:t>
      </w:r>
      <w:r w:rsidR="005C12C9">
        <w:rPr>
          <w:rFonts w:ascii="Times New Roman" w:hAnsi="Times New Roman"/>
          <w:sz w:val="28"/>
          <w:szCs w:val="28"/>
        </w:rPr>
        <w:t xml:space="preserve"> – </w:t>
      </w:r>
      <w:r w:rsidRPr="00C02AB8">
        <w:rPr>
          <w:rFonts w:ascii="Times New Roman" w:hAnsi="Times New Roman"/>
          <w:sz w:val="28"/>
          <w:szCs w:val="28"/>
        </w:rPr>
        <w:t>виробництво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форматорів-вулканізаторів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шин;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Buzuluk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(Чехія)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гумозмішувачів,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вальці;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Pirelli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Camelio,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Pomini,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Marangoni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(Італія)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гумозмішувачів,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вальців,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каландрів;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Farrell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(Велика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Британія)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гумозмішувачів;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WIRT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&amp;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Häner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Kraft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(Німеччина)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виробництво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тонелепрохідних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комплексів.</w:t>
      </w:r>
    </w:p>
    <w:p w:rsidR="00E94965" w:rsidRPr="00C02AB8" w:rsidRDefault="00D37E80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</w:rPr>
        <w:t>АТ</w:t>
      </w:r>
      <w:r w:rsidR="005C12C9">
        <w:rPr>
          <w:rFonts w:ascii="Times New Roman" w:hAnsi="Times New Roman"/>
          <w:sz w:val="28"/>
          <w:szCs w:val="28"/>
        </w:rPr>
        <w:t xml:space="preserve">  </w:t>
      </w:r>
      <w:r w:rsidRPr="00C02AB8">
        <w:rPr>
          <w:rFonts w:ascii="Times New Roman" w:hAnsi="Times New Roman"/>
          <w:sz w:val="28"/>
          <w:szCs w:val="28"/>
        </w:rPr>
        <w:t>«ПКМЗ»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володіє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науково</w:t>
      </w:r>
      <w:r w:rsidR="005C12C9">
        <w:rPr>
          <w:rFonts w:ascii="Times New Roman" w:hAnsi="Times New Roman"/>
          <w:sz w:val="28"/>
          <w:szCs w:val="28"/>
        </w:rPr>
        <w:t xml:space="preserve"> –</w:t>
      </w:r>
      <w:r w:rsidR="00E94965" w:rsidRPr="00C02AB8">
        <w:rPr>
          <w:rFonts w:ascii="Times New Roman" w:hAnsi="Times New Roman"/>
          <w:sz w:val="28"/>
          <w:szCs w:val="28"/>
        </w:rPr>
        <w:t>технічним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потенціалом,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маючи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своєму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складі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Спеціальне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конструкторське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бюро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(СКБполімермаш),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досвідчених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технологів.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Виконуючи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нові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розробки,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впроваджуючи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їх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виробництво,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ці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спеціалісти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співробітничають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з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науковими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установами: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НТУУ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«КПІ»,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Київським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національним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університетом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технологій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та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дизайну,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інститутами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Національної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академії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наук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–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електрозварювання,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проблем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="00E94965" w:rsidRPr="00C02AB8">
        <w:rPr>
          <w:rFonts w:ascii="Times New Roman" w:hAnsi="Times New Roman"/>
          <w:sz w:val="28"/>
          <w:szCs w:val="28"/>
        </w:rPr>
        <w:t>металознавства.</w:t>
      </w:r>
    </w:p>
    <w:p w:rsidR="00E94965" w:rsidRPr="00C02AB8" w:rsidRDefault="00E94965" w:rsidP="00D37E80">
      <w:pPr>
        <w:spacing w:after="0"/>
        <w:ind w:firstLine="851"/>
        <w:jc w:val="both"/>
        <w:rPr>
          <w:rFonts w:ascii="Times New Roman" w:hAnsi="Times New Roman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Потужності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АТ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використовуються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частково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дають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можливості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для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розширення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обсягів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виробництва.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Підприємство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наполегливо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оновлює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номенклатуру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продукції,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удосконалює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конструкції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машин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традиційної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номенклатури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яка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користується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попитом.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Для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цього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Товариство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володіє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науково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–</w:t>
      </w:r>
      <w:r w:rsidRPr="00C02AB8">
        <w:rPr>
          <w:rFonts w:ascii="Times New Roman" w:hAnsi="Times New Roman"/>
          <w:sz w:val="28"/>
          <w:szCs w:val="20"/>
          <w:lang w:eastAsia="ru-RU"/>
        </w:rPr>
        <w:t>технічним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потенціалом,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маючи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своєму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складі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Спеціальне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конструкторське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бюро(СКБ).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Успішно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співробітничає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науковими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установами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Pr="00C02AB8">
        <w:rPr>
          <w:rFonts w:ascii="Times New Roman" w:hAnsi="Times New Roman"/>
          <w:sz w:val="28"/>
          <w:szCs w:val="20"/>
          <w:lang w:eastAsia="ru-RU"/>
        </w:rPr>
        <w:t>НТУУ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«КПІ»,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інститутом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НАНУ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–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електрозварювання,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проблем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металознавства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інші.</w:t>
      </w:r>
    </w:p>
    <w:p w:rsidR="00E94965" w:rsidRPr="00C02AB8" w:rsidRDefault="00E94965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Завдяки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співпраці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СКБ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потенційних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замовників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вдалося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освоїти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випуск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нових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C02AB8">
        <w:rPr>
          <w:rFonts w:ascii="Times New Roman" w:hAnsi="Times New Roman"/>
          <w:sz w:val="28"/>
          <w:szCs w:val="24"/>
          <w:lang w:eastAsia="ru-RU"/>
        </w:rPr>
        <w:t>видів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продукції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–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гідравлічних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циліндрів,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гідравлічних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домкратів,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основних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частин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шредерів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змішувачів,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запасних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частин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гірничо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C02AB8">
        <w:rPr>
          <w:rFonts w:ascii="Times New Roman" w:hAnsi="Times New Roman"/>
          <w:sz w:val="28"/>
          <w:szCs w:val="24"/>
          <w:lang w:eastAsia="ru-RU"/>
        </w:rPr>
        <w:t>шахтного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обладнання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устаткування,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обладнання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металургійної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хімічної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промисловості,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теплових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атомних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електростанцій.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Також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даний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час,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колектив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зосередився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пошуку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нових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збуту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основної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продукції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вивчення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потреб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метою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організації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виробництва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нових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видів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обладнання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різноманітних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галузей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промисловості.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lastRenderedPageBreak/>
        <w:t>З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цією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метою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проводиться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активна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діяльність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відповідних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служб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підприємства,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основним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напрямком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якої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повернення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традиційні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збуту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світі,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які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були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втрачені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вихід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нові.</w:t>
      </w: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Проведена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робота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дала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змогу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повернутися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співпраці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торгівельними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партнерами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Індії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E372C">
        <w:rPr>
          <w:rFonts w:ascii="Times New Roman" w:hAnsi="Times New Roman"/>
          <w:sz w:val="28"/>
          <w:szCs w:val="24"/>
          <w:lang w:eastAsia="ru-RU"/>
        </w:rPr>
        <w:t>Шрі-Ланці.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Але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недостатні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обсяги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кошів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повна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відсутність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державної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підтримки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цьому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питанні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дає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змоги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повернутися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В’єтнаму,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Індонезії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Східної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Європи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завдяки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державній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підтримці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субсидуванню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експорту,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продовжує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домінувати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Китай.</w:t>
      </w:r>
    </w:p>
    <w:p w:rsidR="00E94965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Виходячи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такого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стану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речей,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конче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необхідно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збільшити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фінансування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для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маркетингової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діяльності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просуванню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своєї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продукції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зовнішні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ринки,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активно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приймати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участь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найбільших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світових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галузевих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виставках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Німеччині,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Франції,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Китаї,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Англії,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Індії,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Туреччині,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Єгипті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Аргентині.</w:t>
      </w:r>
    </w:p>
    <w:p w:rsidR="00CF0408" w:rsidRPr="00C02AB8" w:rsidRDefault="00CF0408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В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структуру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АТ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«ПКМЗ»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входять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6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– </w:t>
      </w:r>
      <w:r w:rsidRPr="00C02AB8">
        <w:rPr>
          <w:rFonts w:ascii="Times New Roman" w:hAnsi="Times New Roman"/>
          <w:sz w:val="28"/>
          <w:szCs w:val="20"/>
          <w:lang w:eastAsia="ru-RU"/>
        </w:rPr>
        <w:t>ть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дочірніх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підприємств,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саме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20"/>
      </w:tblGrid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5C12C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Назва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5C12C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Вид</w:t>
            </w:r>
            <w:r w:rsidR="005C12C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діяльності</w:t>
            </w:r>
          </w:p>
        </w:tc>
      </w:tr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D3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"Завод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"Стандарт"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ПАТ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Маркетингова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діяльність.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Оптова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торгівля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іншими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машинами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устаткуванням.</w:t>
            </w:r>
          </w:p>
        </w:tc>
      </w:tr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D3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"Жашківмаш"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ПАТ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Виготовлення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машинобудівної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продукції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загально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технічного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призначення.</w:t>
            </w:r>
          </w:p>
        </w:tc>
      </w:tr>
      <w:tr w:rsidR="00E94965" w:rsidRPr="00C02AB8" w:rsidTr="00D37E80">
        <w:trPr>
          <w:trHeight w:val="835"/>
        </w:trPr>
        <w:tc>
          <w:tcPr>
            <w:tcW w:w="4503" w:type="dxa"/>
            <w:vAlign w:val="center"/>
          </w:tcPr>
          <w:p w:rsidR="00E94965" w:rsidRPr="00C02AB8" w:rsidRDefault="00E94965" w:rsidP="00D3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"Жашківважмашбуд"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ПАТ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Ремонт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і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технічне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обслуговування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машин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і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устаткування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промислового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призначення.</w:t>
            </w:r>
          </w:p>
        </w:tc>
      </w:tr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"Їдальня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"Індустрія"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ПАТ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5C12C9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Надання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оренду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і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експлуатацію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нерухомого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94965"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майна.</w:t>
            </w:r>
          </w:p>
        </w:tc>
      </w:tr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D3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"Здоров`я"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ВАТ"НВП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підставі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Наказу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від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21.12.11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224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«Про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передачу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майна»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майно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«Здоров’я»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передано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баланс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заводу.</w:t>
            </w:r>
          </w:p>
        </w:tc>
      </w:tr>
      <w:tr w:rsidR="00E94965" w:rsidRPr="00C02AB8" w:rsidTr="004A2666">
        <w:tc>
          <w:tcPr>
            <w:tcW w:w="4503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"Транзит"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ПАТ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"НВП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"БІЛЬШОВИК"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(юридична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особа)</w:t>
            </w:r>
          </w:p>
        </w:tc>
        <w:tc>
          <w:tcPr>
            <w:tcW w:w="5420" w:type="dxa"/>
            <w:vAlign w:val="center"/>
          </w:tcPr>
          <w:p w:rsidR="00E94965" w:rsidRPr="00C02AB8" w:rsidRDefault="00E94965" w:rsidP="00C3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Маркетингова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діяльність.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Оптова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торгівля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іншими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машинами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та</w:t>
            </w:r>
            <w:r w:rsidR="005C12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8"/>
                <w:lang w:eastAsia="ru-RU"/>
              </w:rPr>
              <w:t>устаткуванням.</w:t>
            </w:r>
          </w:p>
        </w:tc>
      </w:tr>
    </w:tbl>
    <w:p w:rsidR="00CF0408" w:rsidRDefault="00CF0408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94965" w:rsidRPr="00C02AB8" w:rsidRDefault="00E94965" w:rsidP="00C3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02AB8">
        <w:rPr>
          <w:rFonts w:ascii="Times New Roman" w:hAnsi="Times New Roman"/>
          <w:sz w:val="28"/>
          <w:szCs w:val="20"/>
          <w:lang w:eastAsia="ru-RU"/>
        </w:rPr>
        <w:t>Вищезазначені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дочірні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підприємства,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крім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ДП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„Жашківважмашбуд”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,створені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згідно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Наказу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ФДМУ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№54-ДАТ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від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25.12.1996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р.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та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Наказу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ФДМУ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№10-ДАТ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від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10.02.1997</w:t>
      </w:r>
      <w:r w:rsidR="005C12C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0"/>
          <w:lang w:eastAsia="ru-RU"/>
        </w:rPr>
        <w:t>р.</w:t>
      </w:r>
    </w:p>
    <w:p w:rsidR="00E94965" w:rsidRPr="00C02AB8" w:rsidRDefault="00E94965" w:rsidP="000B0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ДП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"Жашківважмашбуд"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"ПКМЗ"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(юридична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особа)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дата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запису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єдиному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реєстрі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юридичних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осіб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26.04.2017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р.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рішення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заснування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дочірнього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підприємства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було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прийняте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засіданні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наглядової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ради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протокол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№3-2017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НР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від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04.04.2017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р.</w:t>
      </w:r>
    </w:p>
    <w:p w:rsidR="00E94965" w:rsidRPr="00C02AB8" w:rsidRDefault="00E94965" w:rsidP="00D37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</w:rPr>
        <w:t>На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даний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час,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колектив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підприємства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зосередився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на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пошуку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нових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ринків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збуту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для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основної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продукції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та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вивчення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потреб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ринку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з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метою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організації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виробництва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нових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видів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обладнання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для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різноманітних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галузей</w:t>
      </w:r>
      <w:r w:rsidR="005C12C9">
        <w:rPr>
          <w:rFonts w:ascii="Times New Roman" w:hAnsi="Times New Roman"/>
          <w:sz w:val="28"/>
          <w:szCs w:val="24"/>
        </w:rPr>
        <w:t xml:space="preserve"> </w:t>
      </w:r>
      <w:r w:rsidRPr="00C02AB8">
        <w:rPr>
          <w:rFonts w:ascii="Times New Roman" w:hAnsi="Times New Roman"/>
          <w:sz w:val="28"/>
          <w:szCs w:val="24"/>
        </w:rPr>
        <w:t>промисловості.</w:t>
      </w:r>
    </w:p>
    <w:p w:rsidR="00573F2F" w:rsidRDefault="00573F2F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73F2F" w:rsidRDefault="00573F2F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73F2F" w:rsidRDefault="00573F2F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B04A4" w:rsidRDefault="00CB04A4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B04A4" w:rsidRDefault="00CB04A4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B04A4" w:rsidRDefault="00CB04A4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B04A4" w:rsidRDefault="00CB04A4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B04A4" w:rsidRDefault="00CB04A4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4965" w:rsidRPr="00C02AB8" w:rsidRDefault="00E94965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Розділ.2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Результати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підприємства.</w:t>
      </w:r>
    </w:p>
    <w:p w:rsidR="00E94965" w:rsidRPr="00C02AB8" w:rsidRDefault="00E94965" w:rsidP="00A7539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4965" w:rsidRDefault="00E94965" w:rsidP="005836C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C02AB8">
        <w:rPr>
          <w:rFonts w:ascii="Times New Roman" w:hAnsi="Times New Roman"/>
          <w:sz w:val="28"/>
          <w:szCs w:val="28"/>
          <w:lang w:eastAsia="ru-RU"/>
        </w:rPr>
        <w:t>У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наведеній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таблиці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2.1.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наведені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основні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фінансові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показники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підприємства</w:t>
      </w:r>
      <w:r w:rsidR="00CB04A4" w:rsidRPr="00CB04A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04A4">
        <w:rPr>
          <w:rFonts w:ascii="Times New Roman" w:hAnsi="Times New Roman"/>
          <w:sz w:val="28"/>
          <w:szCs w:val="28"/>
          <w:lang w:val="ru-RU" w:eastAsia="ru-RU"/>
        </w:rPr>
        <w:t>за чотири роки</w:t>
      </w:r>
    </w:p>
    <w:p w:rsidR="00CB04A4" w:rsidRPr="00CB04A4" w:rsidRDefault="00CB04A4" w:rsidP="005836C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E94965" w:rsidRPr="00C02AB8" w:rsidRDefault="00E94965" w:rsidP="00986F6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  <w:lang w:eastAsia="ru-RU"/>
        </w:rPr>
        <w:t>Таблиця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2.1.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45"/>
        <w:gridCol w:w="1438"/>
        <w:gridCol w:w="1439"/>
        <w:gridCol w:w="1439"/>
        <w:gridCol w:w="1439"/>
        <w:gridCol w:w="10"/>
      </w:tblGrid>
      <w:tr w:rsidR="00D8027F" w:rsidRPr="00C02AB8" w:rsidTr="00D8027F">
        <w:trPr>
          <w:gridAfter w:val="1"/>
          <w:wAfter w:w="10" w:type="dxa"/>
          <w:trHeight w:val="559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C4E7D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C4E7D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C4E7D">
              <w:rPr>
                <w:rFonts w:ascii="Times New Roman" w:hAnsi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Default="00FC4E7D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E66475" w:rsidRPr="00C02AB8" w:rsidTr="00487667">
        <w:trPr>
          <w:trHeight w:val="559"/>
          <w:jc w:val="center"/>
        </w:trPr>
        <w:tc>
          <w:tcPr>
            <w:tcW w:w="9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75" w:rsidRPr="00C02AB8" w:rsidRDefault="00E66475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D8027F" w:rsidRPr="00C02AB8" w:rsidTr="006A1CF2">
        <w:trPr>
          <w:gridAfter w:val="1"/>
          <w:wAfter w:w="10" w:type="dxa"/>
          <w:trHeight w:val="559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53442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ind w:left="37" w:hanging="3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79815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96049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105405</w:t>
            </w:r>
          </w:p>
        </w:tc>
      </w:tr>
      <w:tr w:rsidR="00D8027F" w:rsidRPr="00C02AB8" w:rsidTr="006A1CF2">
        <w:trPr>
          <w:gridAfter w:val="1"/>
          <w:wAfter w:w="10" w:type="dxa"/>
          <w:trHeight w:val="559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="00D8027F"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23671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="00D8027F"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33237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="00D8027F"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47884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(46609)</w:t>
            </w:r>
          </w:p>
        </w:tc>
      </w:tr>
      <w:tr w:rsidR="00D8027F" w:rsidRPr="00C02AB8" w:rsidTr="006A1CF2">
        <w:trPr>
          <w:gridAfter w:val="1"/>
          <w:wAfter w:w="10" w:type="dxa"/>
          <w:trHeight w:val="321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Валовий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(збиток)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29771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46578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48165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58796</w:t>
            </w:r>
          </w:p>
        </w:tc>
      </w:tr>
      <w:tr w:rsidR="00D8027F" w:rsidRPr="00C02AB8" w:rsidTr="006A1CF2">
        <w:trPr>
          <w:gridAfter w:val="1"/>
          <w:wAfter w:w="10" w:type="dxa"/>
          <w:trHeight w:val="27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Адміністративні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т.ч.)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(65011)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(69843)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(70776)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(70034)</w:t>
            </w:r>
          </w:p>
        </w:tc>
      </w:tr>
      <w:tr w:rsidR="00D8027F" w:rsidRPr="00C02AB8" w:rsidTr="006A1CF2">
        <w:trPr>
          <w:gridAfter w:val="1"/>
          <w:wAfter w:w="10" w:type="dxa"/>
          <w:trHeight w:val="198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податку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землю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(43870)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(47588)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(47553)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(46464)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збут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(511)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(81)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(201)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(449)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доходи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2283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3060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10594</w:t>
            </w:r>
          </w:p>
        </w:tc>
      </w:tr>
      <w:tr w:rsidR="00D8027F" w:rsidRPr="00C02AB8" w:rsidTr="006A1CF2">
        <w:trPr>
          <w:gridAfter w:val="1"/>
          <w:wAfter w:w="10" w:type="dxa"/>
          <w:trHeight w:val="7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(12229)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(8661)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(5120)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(9922)</w:t>
            </w:r>
          </w:p>
        </w:tc>
      </w:tr>
      <w:tr w:rsidR="00D8027F" w:rsidRPr="00C02AB8" w:rsidTr="006A1CF2">
        <w:trPr>
          <w:gridAfter w:val="1"/>
          <w:wAfter w:w="10" w:type="dxa"/>
          <w:trHeight w:val="208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Фінансовий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операційної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(45697)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(28947)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(23655)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(11015)</w:t>
            </w:r>
          </w:p>
        </w:tc>
      </w:tr>
      <w:tr w:rsidR="00D8027F" w:rsidRPr="00C02AB8" w:rsidTr="006A1CF2">
        <w:trPr>
          <w:gridAfter w:val="1"/>
          <w:wAfter w:w="10" w:type="dxa"/>
          <w:trHeight w:val="41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(40328)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(23088)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(17373)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(5314)</w:t>
            </w:r>
          </w:p>
        </w:tc>
      </w:tr>
      <w:tr w:rsidR="00D8027F" w:rsidRPr="00C02AB8" w:rsidTr="006A1CF2">
        <w:trPr>
          <w:gridAfter w:val="1"/>
          <w:wAfter w:w="10" w:type="dxa"/>
          <w:trHeight w:val="41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Рентабельність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(75,5)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(28,9)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(18,1)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(5,0)</w:t>
            </w:r>
          </w:p>
        </w:tc>
      </w:tr>
      <w:tr w:rsidR="00D8027F" w:rsidRPr="00C02AB8" w:rsidTr="006A1CF2">
        <w:trPr>
          <w:gridAfter w:val="1"/>
          <w:wAfter w:w="10" w:type="dxa"/>
          <w:trHeight w:val="431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фінансові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доходи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Фінансові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(6831)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(6669)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(7641)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837E3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(9238)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F" w:rsidRPr="00C02AB8" w:rsidRDefault="00D8027F" w:rsidP="00986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Фінансовий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(52441)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(35454)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(31110)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(20163</w:t>
            </w:r>
            <w:r w:rsidR="001837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027F" w:rsidRPr="00C02AB8" w:rsidTr="006A1CF2">
        <w:trPr>
          <w:gridAfter w:val="1"/>
          <w:wAfter w:w="10" w:type="dxa"/>
          <w:trHeight w:val="7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F" w:rsidRPr="00C02AB8" w:rsidRDefault="00D8027F" w:rsidP="00986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податку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(148)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(304)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(224)</w:t>
            </w:r>
          </w:p>
        </w:tc>
      </w:tr>
      <w:tr w:rsidR="00D8027F" w:rsidRPr="00C02AB8" w:rsidTr="006A1CF2">
        <w:trPr>
          <w:gridAfter w:val="1"/>
          <w:wAfter w:w="10" w:type="dxa"/>
          <w:trHeight w:val="7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Чистий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фінансовий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(збиток))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(52589)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(35505)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(31414)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(20387)</w:t>
            </w:r>
          </w:p>
        </w:tc>
      </w:tr>
      <w:tr w:rsidR="00D8027F" w:rsidRPr="00C02AB8" w:rsidTr="006A1CF2">
        <w:trPr>
          <w:gridAfter w:val="1"/>
          <w:wAfter w:w="10" w:type="dxa"/>
          <w:trHeight w:val="11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доходів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55812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83037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100691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116089</w:t>
            </w:r>
          </w:p>
        </w:tc>
      </w:tr>
      <w:tr w:rsidR="00D8027F" w:rsidRPr="00C02AB8" w:rsidTr="006A1CF2">
        <w:trPr>
          <w:gridAfter w:val="1"/>
          <w:wAfter w:w="10" w:type="dxa"/>
          <w:trHeight w:val="203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витрат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(108401)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(118542)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(132105)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(136476)</w:t>
            </w:r>
          </w:p>
        </w:tc>
      </w:tr>
      <w:tr w:rsidR="00E66475" w:rsidRPr="00C02AB8" w:rsidTr="00487667">
        <w:trPr>
          <w:trHeight w:val="375"/>
          <w:jc w:val="center"/>
        </w:trPr>
        <w:tc>
          <w:tcPr>
            <w:tcW w:w="9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75" w:rsidRPr="00C02AB8" w:rsidRDefault="00E66475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числі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5818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8190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6190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10794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3618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4395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3343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7397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3795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2847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3397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23707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22036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23950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26179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5041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4914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5166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5599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5369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5820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6257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384219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5701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11966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70862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11679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B495D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16760</w:t>
            </w:r>
          </w:p>
        </w:tc>
      </w:tr>
      <w:tr w:rsidR="00D8027F" w:rsidRPr="00C02AB8" w:rsidTr="006A1CF2">
        <w:trPr>
          <w:gridAfter w:val="1"/>
          <w:wAfter w:w="10" w:type="dxa"/>
          <w:trHeight w:val="375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елементам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51901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111822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53242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B495D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65033</w:t>
            </w:r>
          </w:p>
        </w:tc>
      </w:tr>
    </w:tbl>
    <w:p w:rsidR="00E94965" w:rsidRPr="00C02AB8" w:rsidRDefault="00E94965" w:rsidP="00392C46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E94965" w:rsidRPr="00C02AB8" w:rsidRDefault="002D7B06" w:rsidP="00C02A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7F0">
        <w:rPr>
          <w:noProof/>
          <w:lang w:eastAsia="uk-UA"/>
        </w:rPr>
        <w:object w:dxaOrig="8497" w:dyaOrig="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25.1pt;height:217.25pt;visibility:visible" o:ole="">
            <v:imagedata r:id="rId8" o:title=""/>
            <o:lock v:ext="edit" aspectratio="f"/>
          </v:shape>
          <o:OLEObject Type="Embed" ProgID="Excel.Sheet.8" ShapeID="Диаграмма 1" DrawAspect="Content" ObjectID="_1644320099" r:id="rId9">
            <o:FieldCodes>\s</o:FieldCodes>
          </o:OLEObject>
        </w:object>
      </w:r>
    </w:p>
    <w:p w:rsidR="00D8027F" w:rsidRDefault="00D8027F" w:rsidP="004748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E94965" w:rsidRPr="002D7B06" w:rsidRDefault="00E94965" w:rsidP="00474845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Рис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2.1.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Аналіз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даних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="002D7B06" w:rsidRPr="002D7B06">
        <w:rPr>
          <w:rFonts w:ascii="Times New Roman" w:hAnsi="Times New Roman"/>
          <w:lang w:eastAsia="uk-UA"/>
        </w:rPr>
        <w:t>по ст.«чистий дохід від реалізації продукції (товарів,робіт,послуг )»</w:t>
      </w:r>
      <w:r w:rsidRPr="002D7B06">
        <w:rPr>
          <w:rFonts w:ascii="Times New Roman" w:hAnsi="Times New Roman"/>
          <w:lang w:eastAsia="uk-UA"/>
        </w:rPr>
        <w:t>за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розділом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фінансові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результати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на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АТ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«ПКМЗ»</w:t>
      </w:r>
      <w:r w:rsidR="005C12C9" w:rsidRPr="002D7B06">
        <w:rPr>
          <w:rFonts w:ascii="Times New Roman" w:hAnsi="Times New Roman"/>
          <w:lang w:eastAsia="uk-UA"/>
        </w:rPr>
        <w:t xml:space="preserve"> </w:t>
      </w:r>
    </w:p>
    <w:p w:rsidR="00E94965" w:rsidRPr="002D7B06" w:rsidRDefault="00E94965" w:rsidP="00F618FA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за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>період</w:t>
      </w:r>
      <w:r w:rsidR="005C12C9" w:rsidRPr="002D7B06">
        <w:rPr>
          <w:rFonts w:ascii="Times New Roman" w:hAnsi="Times New Roman"/>
          <w:lang w:eastAsia="uk-UA"/>
        </w:rPr>
        <w:t xml:space="preserve"> </w:t>
      </w:r>
      <w:r w:rsidR="002D7B06" w:rsidRPr="002D7B06">
        <w:rPr>
          <w:rFonts w:ascii="Times New Roman" w:hAnsi="Times New Roman"/>
          <w:lang w:eastAsia="uk-UA"/>
        </w:rPr>
        <w:t xml:space="preserve">2016-2019 </w:t>
      </w:r>
      <w:r w:rsidRPr="002D7B06">
        <w:rPr>
          <w:rFonts w:ascii="Times New Roman" w:hAnsi="Times New Roman"/>
          <w:lang w:eastAsia="uk-UA"/>
        </w:rPr>
        <w:t>рр.</w:t>
      </w:r>
    </w:p>
    <w:p w:rsidR="00E94965" w:rsidRDefault="00E94965" w:rsidP="00F6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 w:rsidRPr="00C02AB8">
        <w:rPr>
          <w:rFonts w:ascii="Times New Roman" w:hAnsi="Times New Roman"/>
          <w:sz w:val="28"/>
          <w:szCs w:val="24"/>
          <w:lang w:eastAsia="uk-UA"/>
        </w:rPr>
        <w:t>Аналіз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даних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2D7B06">
        <w:rPr>
          <w:rFonts w:ascii="Times New Roman" w:hAnsi="Times New Roman"/>
          <w:sz w:val="28"/>
          <w:szCs w:val="24"/>
          <w:lang w:eastAsia="uk-UA"/>
        </w:rPr>
        <w:t>по ст.«чистий дохід від реалізації продукції (товарів,</w:t>
      </w:r>
      <w:r w:rsidR="00DC754E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2D7B06">
        <w:rPr>
          <w:rFonts w:ascii="Times New Roman" w:hAnsi="Times New Roman"/>
          <w:sz w:val="28"/>
          <w:szCs w:val="24"/>
          <w:lang w:eastAsia="uk-UA"/>
        </w:rPr>
        <w:t>робіт,</w:t>
      </w:r>
      <w:r w:rsidR="00DC754E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2D7B06">
        <w:rPr>
          <w:rFonts w:ascii="Times New Roman" w:hAnsi="Times New Roman"/>
          <w:sz w:val="28"/>
          <w:szCs w:val="24"/>
          <w:lang w:eastAsia="uk-UA"/>
        </w:rPr>
        <w:t>послуг )»</w:t>
      </w:r>
      <w:r w:rsidR="002D7B06" w:rsidRPr="002D7B06">
        <w:rPr>
          <w:rFonts w:ascii="Times New Roman" w:hAnsi="Times New Roman"/>
          <w:sz w:val="28"/>
          <w:szCs w:val="24"/>
          <w:lang w:eastAsia="uk-UA"/>
        </w:rPr>
        <w:t xml:space="preserve">за розділом фінансові результати на АТ «ПКМЗ» </w:t>
      </w:r>
      <w:r w:rsidRPr="00C02AB8">
        <w:rPr>
          <w:rFonts w:ascii="Times New Roman" w:hAnsi="Times New Roman"/>
          <w:sz w:val="28"/>
          <w:szCs w:val="24"/>
          <w:lang w:eastAsia="uk-UA"/>
        </w:rPr>
        <w:t>за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період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2D7B06">
        <w:rPr>
          <w:rFonts w:ascii="Times New Roman" w:hAnsi="Times New Roman"/>
          <w:sz w:val="28"/>
          <w:szCs w:val="24"/>
          <w:lang w:eastAsia="uk-UA"/>
        </w:rPr>
        <w:t>2016-2019</w:t>
      </w:r>
      <w:r w:rsidRPr="00C02AB8">
        <w:rPr>
          <w:rFonts w:ascii="Times New Roman" w:hAnsi="Times New Roman"/>
          <w:sz w:val="28"/>
          <w:szCs w:val="24"/>
          <w:lang w:eastAsia="uk-UA"/>
        </w:rPr>
        <w:t>рр.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показав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позитивну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динаміку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у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збільшені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чистого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доходу</w:t>
      </w:r>
      <w:r w:rsidR="005C12C9"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2D7B06">
        <w:rPr>
          <w:rFonts w:ascii="Times New Roman" w:hAnsi="Times New Roman"/>
          <w:sz w:val="28"/>
          <w:szCs w:val="24"/>
          <w:lang w:eastAsia="uk-UA"/>
        </w:rPr>
        <w:t>.</w:t>
      </w:r>
    </w:p>
    <w:p w:rsidR="002D7B06" w:rsidRDefault="002D7B06" w:rsidP="00F6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2D37F0">
        <w:rPr>
          <w:noProof/>
          <w:lang w:eastAsia="uk-UA"/>
        </w:rPr>
        <w:object w:dxaOrig="8266" w:dyaOrig="4340">
          <v:shape id="_x0000_i1026" type="#_x0000_t75" style="width:413.2pt;height:217.25pt;visibility:visible" o:ole="">
            <v:imagedata r:id="rId10" o:title=""/>
            <o:lock v:ext="edit" aspectratio="f"/>
          </v:shape>
          <o:OLEObject Type="Embed" ProgID="Excel.Sheet.8" ShapeID="_x0000_i1026" DrawAspect="Content" ObjectID="_1644320100" r:id="rId11">
            <o:FieldCodes>\s</o:FieldCodes>
          </o:OLEObject>
        </w:object>
      </w:r>
    </w:p>
    <w:p w:rsidR="00263457" w:rsidRDefault="00263457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D7B06" w:rsidRPr="002D7B06" w:rsidRDefault="002D7B06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 xml:space="preserve">Рис </w:t>
      </w:r>
      <w:r>
        <w:rPr>
          <w:rFonts w:ascii="Times New Roman" w:hAnsi="Times New Roman"/>
          <w:lang w:eastAsia="uk-UA"/>
        </w:rPr>
        <w:t>2.2</w:t>
      </w:r>
      <w:r w:rsidRPr="002D7B06">
        <w:rPr>
          <w:rFonts w:ascii="Times New Roman" w:hAnsi="Times New Roman"/>
          <w:lang w:eastAsia="uk-UA"/>
        </w:rPr>
        <w:t>. Аналіз даних по ст.«</w:t>
      </w:r>
      <w:r>
        <w:rPr>
          <w:rFonts w:ascii="Times New Roman" w:hAnsi="Times New Roman"/>
          <w:lang w:eastAsia="uk-UA"/>
        </w:rPr>
        <w:t>собівартість реалізованої продукції</w:t>
      </w:r>
      <w:r w:rsidRPr="002D7B06">
        <w:rPr>
          <w:rFonts w:ascii="Times New Roman" w:hAnsi="Times New Roman"/>
          <w:lang w:eastAsia="uk-UA"/>
        </w:rPr>
        <w:t>»</w:t>
      </w:r>
      <w:r w:rsidR="00A80845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 xml:space="preserve">за розділом фінансові результати на АТ «ПКМЗ» </w:t>
      </w:r>
    </w:p>
    <w:p w:rsidR="002D7B06" w:rsidRDefault="002D7B06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за період 2016-2019 рр.</w:t>
      </w:r>
    </w:p>
    <w:p w:rsidR="002D7B06" w:rsidRDefault="002D7B06" w:rsidP="002D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 w:rsidRPr="00C02AB8">
        <w:rPr>
          <w:rFonts w:ascii="Times New Roman" w:hAnsi="Times New Roman"/>
          <w:sz w:val="28"/>
          <w:szCs w:val="24"/>
          <w:lang w:eastAsia="uk-UA"/>
        </w:rPr>
        <w:t>Аналіз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даних</w:t>
      </w:r>
      <w:r>
        <w:rPr>
          <w:rFonts w:ascii="Times New Roman" w:hAnsi="Times New Roman"/>
          <w:sz w:val="28"/>
          <w:szCs w:val="24"/>
          <w:lang w:eastAsia="uk-UA"/>
        </w:rPr>
        <w:t xml:space="preserve"> по ст.«собівартість реалізованої продукції »</w:t>
      </w:r>
      <w:r w:rsidRPr="002D7B06">
        <w:rPr>
          <w:rFonts w:ascii="Times New Roman" w:hAnsi="Times New Roman"/>
          <w:sz w:val="28"/>
          <w:szCs w:val="24"/>
          <w:lang w:eastAsia="uk-UA"/>
        </w:rPr>
        <w:t xml:space="preserve">за розділом фінансові результати на АТ «ПКМЗ» </w:t>
      </w:r>
      <w:r w:rsidRPr="00C02AB8">
        <w:rPr>
          <w:rFonts w:ascii="Times New Roman" w:hAnsi="Times New Roman"/>
          <w:sz w:val="28"/>
          <w:szCs w:val="24"/>
          <w:lang w:eastAsia="uk-UA"/>
        </w:rPr>
        <w:t>за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період</w:t>
      </w:r>
      <w:r>
        <w:rPr>
          <w:rFonts w:ascii="Times New Roman" w:hAnsi="Times New Roman"/>
          <w:sz w:val="28"/>
          <w:szCs w:val="24"/>
          <w:lang w:eastAsia="uk-UA"/>
        </w:rPr>
        <w:t xml:space="preserve"> 2016-2019</w:t>
      </w:r>
      <w:r w:rsidRPr="00C02AB8">
        <w:rPr>
          <w:rFonts w:ascii="Times New Roman" w:hAnsi="Times New Roman"/>
          <w:sz w:val="28"/>
          <w:szCs w:val="24"/>
          <w:lang w:eastAsia="uk-UA"/>
        </w:rPr>
        <w:t>рр.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показав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позитивну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динаміку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A80845">
        <w:rPr>
          <w:rFonts w:ascii="Times New Roman" w:hAnsi="Times New Roman"/>
          <w:sz w:val="28"/>
          <w:szCs w:val="24"/>
          <w:lang w:eastAsia="uk-UA"/>
        </w:rPr>
        <w:t xml:space="preserve">, що вказує на збільшення замовлень та збільшення вартості виробленої </w:t>
      </w:r>
      <w:r>
        <w:rPr>
          <w:rFonts w:ascii="Times New Roman" w:hAnsi="Times New Roman"/>
          <w:sz w:val="28"/>
          <w:szCs w:val="24"/>
          <w:lang w:eastAsia="uk-UA"/>
        </w:rPr>
        <w:t xml:space="preserve"> продукції .</w:t>
      </w:r>
    </w:p>
    <w:p w:rsidR="002D7B06" w:rsidRDefault="002D7B06" w:rsidP="002D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2D7B06" w:rsidRDefault="002D7B06" w:rsidP="002D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2D7B06" w:rsidRDefault="00397255" w:rsidP="002D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 w:rsidRPr="002D37F0">
        <w:rPr>
          <w:noProof/>
          <w:lang w:eastAsia="uk-UA"/>
        </w:rPr>
        <w:object w:dxaOrig="8958" w:dyaOrig="5885">
          <v:shape id="_x0000_i1027" type="#_x0000_t75" style="width:447.65pt;height:294.25pt;visibility:visible" o:ole="">
            <v:imagedata r:id="rId12" o:title=""/>
            <o:lock v:ext="edit" aspectratio="f"/>
          </v:shape>
          <o:OLEObject Type="Embed" ProgID="Excel.Sheet.8" ShapeID="_x0000_i1027" DrawAspect="Content" ObjectID="_1644320101" r:id="rId13">
            <o:FieldCodes>\s</o:FieldCodes>
          </o:OLEObject>
        </w:object>
      </w:r>
    </w:p>
    <w:p w:rsidR="002D7B06" w:rsidRPr="002D7B06" w:rsidRDefault="002D7B06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 xml:space="preserve">Рис </w:t>
      </w:r>
      <w:r w:rsidR="00422F0B">
        <w:rPr>
          <w:rFonts w:ascii="Times New Roman" w:hAnsi="Times New Roman"/>
          <w:lang w:eastAsia="uk-UA"/>
        </w:rPr>
        <w:t>2.3</w:t>
      </w:r>
      <w:r w:rsidRPr="002D7B06">
        <w:rPr>
          <w:rFonts w:ascii="Times New Roman" w:hAnsi="Times New Roman"/>
          <w:lang w:eastAsia="uk-UA"/>
        </w:rPr>
        <w:t>. Аналіз даних по ст.«</w:t>
      </w:r>
      <w:r>
        <w:rPr>
          <w:rFonts w:ascii="Times New Roman" w:hAnsi="Times New Roman"/>
          <w:lang w:eastAsia="uk-UA"/>
        </w:rPr>
        <w:t xml:space="preserve"> валовий прибуток</w:t>
      </w:r>
      <w:r w:rsidRPr="002D7B06">
        <w:rPr>
          <w:rFonts w:ascii="Times New Roman" w:hAnsi="Times New Roman"/>
          <w:lang w:eastAsia="uk-UA"/>
        </w:rPr>
        <w:t>»</w:t>
      </w:r>
      <w:r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 xml:space="preserve">за розділом фінансові результати на АТ «ПКМЗ» </w:t>
      </w:r>
    </w:p>
    <w:p w:rsidR="002D7B06" w:rsidRDefault="002D7B06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за період 2016-2019 рр.</w:t>
      </w:r>
    </w:p>
    <w:p w:rsidR="002D7B06" w:rsidRDefault="002D7B06" w:rsidP="002D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 w:rsidRPr="00C02AB8">
        <w:rPr>
          <w:rFonts w:ascii="Times New Roman" w:hAnsi="Times New Roman"/>
          <w:sz w:val="28"/>
          <w:szCs w:val="24"/>
          <w:lang w:eastAsia="uk-UA"/>
        </w:rPr>
        <w:t>Аналіз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даних</w:t>
      </w:r>
      <w:r>
        <w:rPr>
          <w:rFonts w:ascii="Times New Roman" w:hAnsi="Times New Roman"/>
          <w:sz w:val="28"/>
          <w:szCs w:val="24"/>
          <w:lang w:eastAsia="uk-UA"/>
        </w:rPr>
        <w:t xml:space="preserve"> по ст.« валовий прибуток »</w:t>
      </w:r>
      <w:r w:rsidRPr="002D7B06">
        <w:rPr>
          <w:rFonts w:ascii="Times New Roman" w:hAnsi="Times New Roman"/>
          <w:sz w:val="28"/>
          <w:szCs w:val="24"/>
          <w:lang w:eastAsia="uk-UA"/>
        </w:rPr>
        <w:t xml:space="preserve">за розділом фінансові результати на АТ «ПКМЗ» </w:t>
      </w:r>
      <w:r w:rsidRPr="00C02AB8">
        <w:rPr>
          <w:rFonts w:ascii="Times New Roman" w:hAnsi="Times New Roman"/>
          <w:sz w:val="28"/>
          <w:szCs w:val="24"/>
          <w:lang w:eastAsia="uk-UA"/>
        </w:rPr>
        <w:t>за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період</w:t>
      </w:r>
      <w:r>
        <w:rPr>
          <w:rFonts w:ascii="Times New Roman" w:hAnsi="Times New Roman"/>
          <w:sz w:val="28"/>
          <w:szCs w:val="24"/>
          <w:lang w:eastAsia="uk-UA"/>
        </w:rPr>
        <w:t xml:space="preserve"> 2016-2019</w:t>
      </w:r>
      <w:r w:rsidRPr="00C02AB8">
        <w:rPr>
          <w:rFonts w:ascii="Times New Roman" w:hAnsi="Times New Roman"/>
          <w:sz w:val="28"/>
          <w:szCs w:val="24"/>
          <w:lang w:eastAsia="uk-UA"/>
        </w:rPr>
        <w:t>рр.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показав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позитивну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динаміку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збільшені</w:t>
      </w:r>
      <w:r w:rsidR="001739C0">
        <w:rPr>
          <w:rFonts w:ascii="Times New Roman" w:hAnsi="Times New Roman"/>
          <w:sz w:val="28"/>
          <w:szCs w:val="24"/>
          <w:lang w:eastAsia="uk-UA"/>
        </w:rPr>
        <w:t xml:space="preserve"> суми прибутку від підприємницької діяльності</w:t>
      </w:r>
      <w:r>
        <w:rPr>
          <w:rFonts w:ascii="Times New Roman" w:hAnsi="Times New Roman"/>
          <w:sz w:val="28"/>
          <w:szCs w:val="24"/>
          <w:lang w:eastAsia="uk-UA"/>
        </w:rPr>
        <w:t>.</w:t>
      </w:r>
    </w:p>
    <w:p w:rsidR="002D7B06" w:rsidRPr="002D7B06" w:rsidRDefault="002D7B06" w:rsidP="002D7B06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2D7B06" w:rsidRPr="00C02AB8" w:rsidRDefault="002D7B06" w:rsidP="00F6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4965" w:rsidRPr="00C02AB8" w:rsidRDefault="00397255" w:rsidP="00C02AB8">
      <w:pPr>
        <w:jc w:val="center"/>
        <w:rPr>
          <w:rFonts w:ascii="Times New Roman" w:hAnsi="Times New Roman"/>
        </w:rPr>
      </w:pPr>
      <w:r w:rsidRPr="002D37F0">
        <w:rPr>
          <w:noProof/>
          <w:lang w:eastAsia="uk-UA"/>
        </w:rPr>
        <w:object w:dxaOrig="9610" w:dyaOrig="4253">
          <v:shape id="_x0000_i1028" type="#_x0000_t75" style="width:480.2pt;height:212.85pt;visibility:visible" o:ole="">
            <v:imagedata r:id="rId14" o:title=""/>
            <o:lock v:ext="edit" aspectratio="f"/>
          </v:shape>
          <o:OLEObject Type="Embed" ProgID="Excel.Sheet.8" ShapeID="_x0000_i1028" DrawAspect="Content" ObjectID="_1644320102" r:id="rId15">
            <o:FieldCodes>\s</o:FieldCodes>
          </o:OLEObject>
        </w:object>
      </w:r>
    </w:p>
    <w:p w:rsidR="00397255" w:rsidRPr="002D7B06" w:rsidRDefault="00397255" w:rsidP="00397255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 xml:space="preserve">Рис </w:t>
      </w:r>
      <w:r>
        <w:rPr>
          <w:rFonts w:ascii="Times New Roman" w:hAnsi="Times New Roman"/>
          <w:lang w:eastAsia="uk-UA"/>
        </w:rPr>
        <w:t>2.4</w:t>
      </w:r>
      <w:r w:rsidRPr="002D7B06">
        <w:rPr>
          <w:rFonts w:ascii="Times New Roman" w:hAnsi="Times New Roman"/>
          <w:lang w:eastAsia="uk-UA"/>
        </w:rPr>
        <w:t>. Аналіз даних по ст.«</w:t>
      </w:r>
      <w:r>
        <w:rPr>
          <w:rFonts w:ascii="Times New Roman" w:hAnsi="Times New Roman"/>
          <w:lang w:eastAsia="uk-UA"/>
        </w:rPr>
        <w:t xml:space="preserve"> чистий фінансовий результат (прибуток(збиток))</w:t>
      </w:r>
      <w:r w:rsidRPr="002D7B06">
        <w:rPr>
          <w:rFonts w:ascii="Times New Roman" w:hAnsi="Times New Roman"/>
          <w:lang w:eastAsia="uk-UA"/>
        </w:rPr>
        <w:t>»</w:t>
      </w:r>
      <w:r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 xml:space="preserve">за розділом фінансові результати на АТ «ПКМЗ» </w:t>
      </w:r>
    </w:p>
    <w:p w:rsidR="00397255" w:rsidRDefault="00397255" w:rsidP="00397255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за період 2016-2019 рр.</w:t>
      </w:r>
    </w:p>
    <w:p w:rsidR="00397255" w:rsidRDefault="00397255" w:rsidP="003972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uk-UA"/>
        </w:rPr>
      </w:pPr>
      <w:r w:rsidRPr="00C02AB8">
        <w:rPr>
          <w:rFonts w:ascii="Times New Roman" w:hAnsi="Times New Roman"/>
          <w:sz w:val="28"/>
          <w:szCs w:val="24"/>
          <w:lang w:eastAsia="uk-UA"/>
        </w:rPr>
        <w:t>Аналіз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даних</w:t>
      </w:r>
      <w:r>
        <w:rPr>
          <w:rFonts w:ascii="Times New Roman" w:hAnsi="Times New Roman"/>
          <w:sz w:val="28"/>
          <w:szCs w:val="24"/>
          <w:lang w:eastAsia="uk-UA"/>
        </w:rPr>
        <w:t xml:space="preserve"> по ст</w:t>
      </w:r>
      <w:r w:rsidRPr="00397255">
        <w:rPr>
          <w:rFonts w:ascii="Times New Roman" w:hAnsi="Times New Roman"/>
          <w:sz w:val="28"/>
          <w:szCs w:val="28"/>
          <w:lang w:eastAsia="uk-UA"/>
        </w:rPr>
        <w:t>.« чистий фінансовий результат (прибуток(збиток))»за</w:t>
      </w:r>
      <w:r w:rsidRPr="002D7B06">
        <w:rPr>
          <w:rFonts w:ascii="Times New Roman" w:hAnsi="Times New Roman"/>
          <w:sz w:val="28"/>
          <w:szCs w:val="24"/>
          <w:lang w:eastAsia="uk-UA"/>
        </w:rPr>
        <w:t xml:space="preserve"> розділом фінансові результати на АТ «ПКМЗ» </w:t>
      </w:r>
      <w:r w:rsidRPr="00C02AB8">
        <w:rPr>
          <w:rFonts w:ascii="Times New Roman" w:hAnsi="Times New Roman"/>
          <w:sz w:val="28"/>
          <w:szCs w:val="24"/>
          <w:lang w:eastAsia="uk-UA"/>
        </w:rPr>
        <w:t>за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період</w:t>
      </w:r>
      <w:r>
        <w:rPr>
          <w:rFonts w:ascii="Times New Roman" w:hAnsi="Times New Roman"/>
          <w:sz w:val="28"/>
          <w:szCs w:val="24"/>
          <w:lang w:eastAsia="uk-UA"/>
        </w:rPr>
        <w:t xml:space="preserve"> 2016-2019</w:t>
      </w:r>
      <w:r w:rsidRPr="00C02AB8">
        <w:rPr>
          <w:rFonts w:ascii="Times New Roman" w:hAnsi="Times New Roman"/>
          <w:sz w:val="28"/>
          <w:szCs w:val="24"/>
          <w:lang w:eastAsia="uk-UA"/>
        </w:rPr>
        <w:t>рр.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показав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позитивну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динаміку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="00116311">
        <w:rPr>
          <w:rFonts w:ascii="Times New Roman" w:hAnsi="Times New Roman"/>
          <w:sz w:val="28"/>
          <w:szCs w:val="24"/>
          <w:lang w:eastAsia="uk-UA"/>
        </w:rPr>
        <w:t>зменшені</w:t>
      </w:r>
      <w:r>
        <w:rPr>
          <w:rFonts w:ascii="Times New Roman" w:hAnsi="Times New Roman"/>
          <w:sz w:val="28"/>
          <w:szCs w:val="24"/>
          <w:lang w:eastAsia="uk-UA"/>
        </w:rPr>
        <w:t xml:space="preserve"> суми</w:t>
      </w:r>
      <w:r w:rsidR="00116311">
        <w:rPr>
          <w:rFonts w:ascii="Times New Roman" w:hAnsi="Times New Roman"/>
          <w:sz w:val="28"/>
          <w:szCs w:val="24"/>
          <w:lang w:eastAsia="uk-UA"/>
        </w:rPr>
        <w:t xml:space="preserve"> збитків </w:t>
      </w:r>
      <w:r>
        <w:rPr>
          <w:rFonts w:ascii="Times New Roman" w:hAnsi="Times New Roman"/>
          <w:sz w:val="28"/>
          <w:szCs w:val="24"/>
          <w:lang w:eastAsia="uk-UA"/>
        </w:rPr>
        <w:t>.</w:t>
      </w:r>
    </w:p>
    <w:p w:rsidR="00FC4E7D" w:rsidRDefault="00FC4E7D" w:rsidP="003F18F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uk-UA"/>
        </w:rPr>
      </w:pPr>
    </w:p>
    <w:p w:rsidR="00E94965" w:rsidRPr="00C02AB8" w:rsidRDefault="00E94965" w:rsidP="00F618FA">
      <w:pPr>
        <w:spacing w:after="0"/>
        <w:ind w:firstLine="708"/>
        <w:jc w:val="right"/>
        <w:rPr>
          <w:rFonts w:ascii="Times New Roman" w:hAnsi="Times New Roman"/>
          <w:i/>
          <w:sz w:val="28"/>
          <w:szCs w:val="24"/>
        </w:rPr>
      </w:pPr>
      <w:r w:rsidRPr="00C02AB8">
        <w:rPr>
          <w:rFonts w:ascii="Times New Roman" w:hAnsi="Times New Roman"/>
        </w:rPr>
        <w:br w:type="page"/>
      </w:r>
      <w:r w:rsidRPr="00C02AB8">
        <w:rPr>
          <w:rFonts w:ascii="Times New Roman" w:hAnsi="Times New Roman"/>
          <w:i/>
          <w:sz w:val="28"/>
          <w:szCs w:val="24"/>
        </w:rPr>
        <w:lastRenderedPageBreak/>
        <w:t>Продовження</w:t>
      </w:r>
      <w:r w:rsidR="005C12C9">
        <w:rPr>
          <w:rFonts w:ascii="Times New Roman" w:hAnsi="Times New Roman"/>
          <w:i/>
          <w:sz w:val="28"/>
          <w:szCs w:val="24"/>
        </w:rPr>
        <w:t xml:space="preserve"> </w:t>
      </w:r>
      <w:r w:rsidRPr="00C02AB8">
        <w:rPr>
          <w:rFonts w:ascii="Times New Roman" w:hAnsi="Times New Roman"/>
          <w:i/>
          <w:sz w:val="28"/>
          <w:szCs w:val="24"/>
        </w:rPr>
        <w:t>таб.</w:t>
      </w:r>
      <w:r w:rsidR="005C12C9">
        <w:rPr>
          <w:rFonts w:ascii="Times New Roman" w:hAnsi="Times New Roman"/>
          <w:i/>
          <w:sz w:val="28"/>
          <w:szCs w:val="24"/>
        </w:rPr>
        <w:t xml:space="preserve"> </w:t>
      </w:r>
      <w:r w:rsidRPr="00C02AB8">
        <w:rPr>
          <w:rFonts w:ascii="Times New Roman" w:hAnsi="Times New Roman"/>
          <w:i/>
          <w:sz w:val="28"/>
          <w:szCs w:val="24"/>
        </w:rPr>
        <w:t>2.1.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278"/>
        <w:gridCol w:w="1304"/>
        <w:gridCol w:w="1304"/>
        <w:gridCol w:w="1298"/>
        <w:gridCol w:w="6"/>
        <w:gridCol w:w="1296"/>
        <w:gridCol w:w="8"/>
        <w:gridCol w:w="73"/>
      </w:tblGrid>
      <w:tr w:rsidR="00E66475" w:rsidRPr="00C02AB8" w:rsidTr="004426E4">
        <w:trPr>
          <w:trHeight w:val="375"/>
          <w:jc w:val="center"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75" w:rsidRPr="00C02AB8" w:rsidRDefault="00E66475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РОЗРАХУНКИ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БЮДЖЕТОМ</w:t>
            </w:r>
          </w:p>
        </w:tc>
      </w:tr>
      <w:tr w:rsidR="00D8027F" w:rsidRPr="00C02AB8" w:rsidTr="00CF0408">
        <w:trPr>
          <w:gridAfter w:val="1"/>
          <w:wAfter w:w="73" w:type="dxa"/>
          <w:trHeight w:val="387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Залишок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нерозподіленого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(непокритого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збитку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початок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звітного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періоду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5167F0" w:rsidP="00CF0408">
            <w:pPr>
              <w:spacing w:after="0" w:line="240" w:lineRule="auto"/>
              <w:ind w:left="-30" w:firstLine="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(114535)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(171973)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(211444)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08" w:rsidRDefault="00CF040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8027F" w:rsidRDefault="00CF040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(250746)</w:t>
            </w:r>
          </w:p>
          <w:p w:rsidR="00CF0408" w:rsidRPr="00C02AB8" w:rsidRDefault="00CF040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441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Нараховані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сплати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відрахування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чистого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усього,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числі: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унітарними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підприємствами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об'єднаннями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господарськими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товариствами,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статутному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капіталі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яких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більше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акцій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(часток,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паїв)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належать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дивідендів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числі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частку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Перенесено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капіталу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Розвиток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виробництва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20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Резервний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фонди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CF0408">
        <w:trPr>
          <w:gridAfter w:val="1"/>
          <w:wAfter w:w="73" w:type="dxa"/>
          <w:trHeight w:val="14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цілі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(4849)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(3966)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(7888)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12AB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4428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Залишок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нерозподіленого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(непокритого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збитку)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кінець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звітного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періоду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(171973)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(211444)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(250746)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12AB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(266705)</w:t>
            </w:r>
          </w:p>
        </w:tc>
      </w:tr>
      <w:tr w:rsidR="00E12AB2" w:rsidRPr="00C02AB8" w:rsidTr="000158D8">
        <w:trPr>
          <w:gridAfter w:val="2"/>
          <w:wAfter w:w="81" w:type="dxa"/>
          <w:trHeight w:val="375"/>
          <w:jc w:val="center"/>
        </w:trPr>
        <w:tc>
          <w:tcPr>
            <w:tcW w:w="8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6475" w:rsidRPr="00C02AB8" w:rsidRDefault="00E66475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обов'язкових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платежів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B2" w:rsidRPr="00C02AB8" w:rsidRDefault="00E12AB2">
            <w:pPr>
              <w:spacing w:after="0" w:line="240" w:lineRule="auto"/>
            </w:pP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Сплата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податків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зборів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бюджету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(податкові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платежі),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6532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8533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9659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12974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Податок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підприємства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305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ПДВ,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підлягає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сплаті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підсумками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звітного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періоду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6249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8048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9215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12270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ПДВ,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підлягає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відшкодуванню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підсумками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звітного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періоду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акцизний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податок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відрахування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чистого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унітарними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підприємствами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об'єднаннями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рентна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транспортування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Сплата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податків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зборів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місцевих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бюджетів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(податкові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платежі)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5631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6235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6845</w:t>
            </w: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Податок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доходи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фізичних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3780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4936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4283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4746</w:t>
            </w:r>
          </w:p>
        </w:tc>
      </w:tr>
      <w:tr w:rsidR="00D8027F" w:rsidRPr="00C02AB8" w:rsidTr="00CF0408">
        <w:trPr>
          <w:gridAfter w:val="1"/>
          <w:wAfter w:w="73" w:type="dxa"/>
          <w:trHeight w:val="70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Податок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Cs/>
                <w:sz w:val="24"/>
                <w:szCs w:val="24"/>
              </w:rPr>
              <w:t>землю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1299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1417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2099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Інші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податки,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збори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платежі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користь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держави,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5931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4095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5530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6828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відрахування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чистого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прибутку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господарськими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товариствами,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статутному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капіталі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lastRenderedPageBreak/>
              <w:t>яких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більше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акцій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(часток,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паїв)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належать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виплату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дивідендів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частку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CF0408">
        <w:trPr>
          <w:gridAfter w:val="1"/>
          <w:wAfter w:w="73" w:type="dxa"/>
          <w:trHeight w:val="375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єдиний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внесок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загальнообов'язкове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державне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соціальне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страхування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5931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4051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5245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5599</w:t>
            </w:r>
          </w:p>
        </w:tc>
      </w:tr>
      <w:tr w:rsidR="00D8027F" w:rsidRPr="00C02AB8" w:rsidTr="00CF0408">
        <w:trPr>
          <w:gridAfter w:val="1"/>
          <w:wAfter w:w="73" w:type="dxa"/>
          <w:trHeight w:val="121"/>
          <w:jc w:val="center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виплат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користь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держави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18094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18863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21374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EE3162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26647</w:t>
            </w:r>
          </w:p>
        </w:tc>
      </w:tr>
    </w:tbl>
    <w:p w:rsidR="00AA2D70" w:rsidRDefault="00AA2D70" w:rsidP="00F618FA">
      <w:pPr>
        <w:jc w:val="right"/>
        <w:rPr>
          <w:rFonts w:ascii="Times New Roman" w:hAnsi="Times New Roman"/>
          <w:i/>
          <w:sz w:val="28"/>
          <w:szCs w:val="24"/>
        </w:rPr>
      </w:pPr>
    </w:p>
    <w:p w:rsidR="00B72B4C" w:rsidRDefault="00B72B4C" w:rsidP="00F618FA">
      <w:pPr>
        <w:jc w:val="right"/>
        <w:rPr>
          <w:rFonts w:ascii="Times New Roman" w:hAnsi="Times New Roman"/>
          <w:i/>
          <w:sz w:val="28"/>
          <w:szCs w:val="24"/>
        </w:rPr>
      </w:pPr>
    </w:p>
    <w:p w:rsidR="00263457" w:rsidRDefault="00263457" w:rsidP="00263457">
      <w:pPr>
        <w:spacing w:after="0" w:line="240" w:lineRule="auto"/>
        <w:jc w:val="center"/>
      </w:pPr>
      <w:r w:rsidRPr="002D37F0">
        <w:rPr>
          <w:noProof/>
          <w:lang w:eastAsia="uk-UA"/>
        </w:rPr>
        <w:object w:dxaOrig="9658" w:dyaOrig="4320">
          <v:shape id="_x0000_i1029" type="#_x0000_t75" style="width:482.7pt;height:3in;visibility:visible" o:ole="">
            <v:imagedata r:id="rId16" o:title=""/>
            <o:lock v:ext="edit" aspectratio="f"/>
          </v:shape>
          <o:OLEObject Type="Embed" ProgID="Excel.Sheet.8" ShapeID="_x0000_i1029" DrawAspect="Content" ObjectID="_1644320103" r:id="rId17">
            <o:FieldCodes>\s</o:FieldCodes>
          </o:OLEObject>
        </w:object>
      </w:r>
    </w:p>
    <w:p w:rsidR="00263457" w:rsidRPr="002D7B06" w:rsidRDefault="00263457" w:rsidP="0026345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63457"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 xml:space="preserve">Рис </w:t>
      </w:r>
      <w:r w:rsidR="00197832">
        <w:rPr>
          <w:rFonts w:ascii="Times New Roman" w:hAnsi="Times New Roman"/>
          <w:lang w:eastAsia="uk-UA"/>
        </w:rPr>
        <w:t>2.5</w:t>
      </w:r>
      <w:r w:rsidRPr="002D7B06">
        <w:rPr>
          <w:rFonts w:ascii="Times New Roman" w:hAnsi="Times New Roman"/>
          <w:lang w:eastAsia="uk-UA"/>
        </w:rPr>
        <w:t>. Аналіз даних по ст.«</w:t>
      </w:r>
      <w:r>
        <w:rPr>
          <w:rFonts w:ascii="Times New Roman" w:hAnsi="Times New Roman"/>
          <w:lang w:eastAsia="uk-UA"/>
        </w:rPr>
        <w:t xml:space="preserve"> сплата податків та зборів до Державного бюджету України </w:t>
      </w:r>
      <w:r w:rsidRPr="002D7B06">
        <w:rPr>
          <w:rFonts w:ascii="Times New Roman" w:hAnsi="Times New Roman"/>
          <w:lang w:eastAsia="uk-UA"/>
        </w:rPr>
        <w:t>»</w:t>
      </w:r>
      <w:r>
        <w:rPr>
          <w:rFonts w:ascii="Times New Roman" w:hAnsi="Times New Roman"/>
          <w:lang w:eastAsia="uk-UA"/>
        </w:rPr>
        <w:t xml:space="preserve"> </w:t>
      </w:r>
      <w:r w:rsidRPr="002D7B06">
        <w:rPr>
          <w:rFonts w:ascii="Times New Roman" w:hAnsi="Times New Roman"/>
          <w:lang w:eastAsia="uk-UA"/>
        </w:rPr>
        <w:t xml:space="preserve">за розділом фінансові результати на АТ «ПКМЗ» </w:t>
      </w:r>
    </w:p>
    <w:p w:rsidR="00263457" w:rsidRDefault="00263457" w:rsidP="00263457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>за період 2016-2019 рр.</w:t>
      </w:r>
    </w:p>
    <w:p w:rsidR="00263457" w:rsidRPr="002D7B06" w:rsidRDefault="00263457" w:rsidP="00263457">
      <w:pPr>
        <w:spacing w:after="0" w:line="240" w:lineRule="auto"/>
        <w:ind w:firstLine="708"/>
        <w:jc w:val="both"/>
        <w:rPr>
          <w:rFonts w:ascii="Times New Roman" w:hAnsi="Times New Roman"/>
          <w:lang w:eastAsia="uk-UA"/>
        </w:rPr>
      </w:pPr>
      <w:r w:rsidRPr="00C02AB8">
        <w:rPr>
          <w:rFonts w:ascii="Times New Roman" w:hAnsi="Times New Roman"/>
          <w:sz w:val="28"/>
          <w:szCs w:val="24"/>
          <w:lang w:eastAsia="uk-UA"/>
        </w:rPr>
        <w:t>Аналіз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даних</w:t>
      </w:r>
      <w:r>
        <w:rPr>
          <w:rFonts w:ascii="Times New Roman" w:hAnsi="Times New Roman"/>
          <w:sz w:val="28"/>
          <w:szCs w:val="24"/>
          <w:lang w:eastAsia="uk-UA"/>
        </w:rPr>
        <w:t xml:space="preserve"> по ст.«</w:t>
      </w:r>
      <w:r w:rsidRPr="00263457">
        <w:rPr>
          <w:rFonts w:ascii="Times New Roman" w:hAnsi="Times New Roman"/>
          <w:lang w:eastAsia="uk-UA"/>
        </w:rPr>
        <w:t xml:space="preserve"> </w:t>
      </w:r>
      <w:r w:rsidRPr="00263457">
        <w:rPr>
          <w:rFonts w:ascii="Times New Roman" w:hAnsi="Times New Roman"/>
          <w:sz w:val="28"/>
          <w:szCs w:val="28"/>
          <w:lang w:eastAsia="uk-UA"/>
        </w:rPr>
        <w:t>сплата податків та зборів до Державного бюджету України</w:t>
      </w:r>
      <w:r>
        <w:rPr>
          <w:rFonts w:ascii="Times New Roman" w:hAnsi="Times New Roman"/>
          <w:sz w:val="28"/>
          <w:szCs w:val="24"/>
          <w:lang w:eastAsia="uk-UA"/>
        </w:rPr>
        <w:t>»</w:t>
      </w:r>
      <w:r w:rsidRPr="002D7B06">
        <w:rPr>
          <w:rFonts w:ascii="Times New Roman" w:hAnsi="Times New Roman"/>
          <w:sz w:val="28"/>
          <w:szCs w:val="24"/>
          <w:lang w:eastAsia="uk-UA"/>
        </w:rPr>
        <w:t xml:space="preserve">за розділом фінансові результати на АТ «ПКМЗ» </w:t>
      </w:r>
      <w:r w:rsidRPr="00C02AB8">
        <w:rPr>
          <w:rFonts w:ascii="Times New Roman" w:hAnsi="Times New Roman"/>
          <w:sz w:val="28"/>
          <w:szCs w:val="24"/>
          <w:lang w:eastAsia="uk-UA"/>
        </w:rPr>
        <w:t>за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період</w:t>
      </w:r>
      <w:r>
        <w:rPr>
          <w:rFonts w:ascii="Times New Roman" w:hAnsi="Times New Roman"/>
          <w:sz w:val="28"/>
          <w:szCs w:val="24"/>
          <w:lang w:eastAsia="uk-UA"/>
        </w:rPr>
        <w:t xml:space="preserve"> 2016-2019</w:t>
      </w:r>
      <w:r w:rsidRPr="00C02AB8">
        <w:rPr>
          <w:rFonts w:ascii="Times New Roman" w:hAnsi="Times New Roman"/>
          <w:sz w:val="28"/>
          <w:szCs w:val="24"/>
          <w:lang w:eastAsia="uk-UA"/>
        </w:rPr>
        <w:t>рр.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показав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позитивну</w:t>
      </w:r>
      <w:r>
        <w:rPr>
          <w:rFonts w:ascii="Times New Roman" w:hAnsi="Times New Roman"/>
          <w:sz w:val="28"/>
          <w:szCs w:val="24"/>
          <w:lang w:eastAsia="uk-UA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uk-UA"/>
        </w:rPr>
        <w:t>динаміку</w:t>
      </w:r>
      <w:r>
        <w:rPr>
          <w:rFonts w:ascii="Times New Roman" w:hAnsi="Times New Roman"/>
          <w:sz w:val="28"/>
          <w:szCs w:val="24"/>
          <w:lang w:eastAsia="uk-UA"/>
        </w:rPr>
        <w:t xml:space="preserve">. </w:t>
      </w:r>
    </w:p>
    <w:p w:rsidR="00E94965" w:rsidRPr="00C02AB8" w:rsidRDefault="00E94965" w:rsidP="00F618FA">
      <w:pPr>
        <w:jc w:val="right"/>
        <w:rPr>
          <w:rFonts w:ascii="Times New Roman" w:hAnsi="Times New Roman"/>
        </w:rPr>
      </w:pPr>
      <w:r w:rsidRPr="00C02AB8">
        <w:rPr>
          <w:rFonts w:ascii="Times New Roman" w:hAnsi="Times New Roman"/>
          <w:i/>
          <w:sz w:val="28"/>
          <w:szCs w:val="24"/>
        </w:rPr>
        <w:t>Продовження</w:t>
      </w:r>
      <w:r w:rsidR="005C12C9">
        <w:rPr>
          <w:rFonts w:ascii="Times New Roman" w:hAnsi="Times New Roman"/>
          <w:i/>
          <w:sz w:val="28"/>
          <w:szCs w:val="24"/>
        </w:rPr>
        <w:t xml:space="preserve"> </w:t>
      </w:r>
      <w:r w:rsidRPr="00C02AB8">
        <w:rPr>
          <w:rFonts w:ascii="Times New Roman" w:hAnsi="Times New Roman"/>
          <w:i/>
          <w:sz w:val="28"/>
          <w:szCs w:val="24"/>
        </w:rPr>
        <w:t>таб.</w:t>
      </w:r>
      <w:r w:rsidR="005C12C9">
        <w:rPr>
          <w:rFonts w:ascii="Times New Roman" w:hAnsi="Times New Roman"/>
          <w:i/>
          <w:sz w:val="28"/>
          <w:szCs w:val="24"/>
        </w:rPr>
        <w:t xml:space="preserve"> </w:t>
      </w:r>
      <w:r w:rsidRPr="00C02AB8">
        <w:rPr>
          <w:rFonts w:ascii="Times New Roman" w:hAnsi="Times New Roman"/>
          <w:i/>
          <w:sz w:val="28"/>
          <w:szCs w:val="24"/>
        </w:rPr>
        <w:t>2.1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15"/>
        <w:gridCol w:w="1335"/>
        <w:gridCol w:w="1335"/>
        <w:gridCol w:w="1335"/>
        <w:gridCol w:w="1335"/>
      </w:tblGrid>
      <w:tr w:rsidR="00E66475" w:rsidRPr="00C02AB8" w:rsidTr="00487667">
        <w:trPr>
          <w:trHeight w:val="375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75" w:rsidRPr="00C02AB8" w:rsidRDefault="00E66475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.РУХ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КОШТІВ</w:t>
            </w:r>
          </w:p>
        </w:tc>
      </w:tr>
      <w:tr w:rsidR="00D8027F" w:rsidRPr="00C02AB8" w:rsidTr="00D8027F">
        <w:trPr>
          <w:trHeight w:val="233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Залишок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початок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періоду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1615</w:t>
            </w:r>
          </w:p>
        </w:tc>
      </w:tr>
      <w:tr w:rsidR="00D8027F" w:rsidRPr="00C02AB8" w:rsidTr="00D8027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219</w:t>
            </w: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Чистий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операційної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3769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132</w:t>
            </w: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Чистий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інвестиційної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(2957)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Чистий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(3740)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Вплив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зміни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валютних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курсів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залишок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Залишок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коштів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кінець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періоду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1615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1747</w:t>
            </w:r>
          </w:p>
        </w:tc>
      </w:tr>
      <w:tr w:rsidR="00E66475" w:rsidRPr="00C02AB8" w:rsidTr="0017515F">
        <w:trPr>
          <w:trHeight w:val="375"/>
          <w:jc w:val="center"/>
        </w:trPr>
        <w:tc>
          <w:tcPr>
            <w:tcW w:w="9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57" w:rsidRDefault="00263457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263457" w:rsidRDefault="00263457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263457" w:rsidRDefault="00263457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263457" w:rsidRDefault="00263457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E66475" w:rsidRPr="00C02AB8" w:rsidRDefault="00E66475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IV.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ІНВЕСТИЦІЇ</w:t>
            </w:r>
          </w:p>
        </w:tc>
      </w:tr>
      <w:tr w:rsidR="00D8027F" w:rsidRPr="00C02AB8" w:rsidTr="0017515F">
        <w:trPr>
          <w:trHeight w:val="448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Капітальні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3928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7435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8758</w:t>
            </w:r>
          </w:p>
        </w:tc>
      </w:tr>
      <w:tr w:rsidR="00D8027F" w:rsidRPr="00C02AB8" w:rsidTr="0017515F">
        <w:trPr>
          <w:trHeight w:val="111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капітальне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228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придбання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(виготовлення)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основних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засобів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442</w:t>
            </w:r>
          </w:p>
        </w:tc>
      </w:tr>
      <w:tr w:rsidR="00D8027F" w:rsidRPr="00C02AB8" w:rsidTr="0017515F">
        <w:trPr>
          <w:trHeight w:val="346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придбання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(виготовлення)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інших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необоротних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матеріальних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активів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придбання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(створення)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нематеріальних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активів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модернізація,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модифікація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(добудова,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дообладнання,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реконструкція)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основних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засобів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2498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6072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3917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4399</w:t>
            </w:r>
          </w:p>
        </w:tc>
      </w:tr>
      <w:tr w:rsidR="00D8027F" w:rsidRPr="00C02AB8" w:rsidTr="0017515F">
        <w:trPr>
          <w:trHeight w:val="192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Джерела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капітальних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інвестицій,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3928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7435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8758</w:t>
            </w:r>
          </w:p>
        </w:tc>
      </w:tr>
      <w:tr w:rsidR="00D8027F" w:rsidRPr="00C02AB8" w:rsidTr="0017515F">
        <w:trPr>
          <w:trHeight w:val="123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Власні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2464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3928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7435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8758</w:t>
            </w:r>
          </w:p>
        </w:tc>
      </w:tr>
      <w:tr w:rsidR="00E66475" w:rsidRPr="00C02AB8" w:rsidTr="0017515F">
        <w:trPr>
          <w:trHeight w:val="226"/>
          <w:jc w:val="center"/>
        </w:trPr>
        <w:tc>
          <w:tcPr>
            <w:tcW w:w="9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75" w:rsidRPr="00C02AB8" w:rsidRDefault="00E66475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АНАЛІЗ</w:t>
            </w:r>
          </w:p>
        </w:tc>
      </w:tr>
      <w:tr w:rsidR="00D8027F" w:rsidRPr="00C02AB8" w:rsidTr="0017515F">
        <w:trPr>
          <w:trHeight w:val="89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Рентабельність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-98,4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-44,5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-32,7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-19,3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Рентабельність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активів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-15,7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-10,4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-5,5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Рентабельність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власного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капіталу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-42,6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-44,6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-91,2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-144,4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Коефіцієнт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стійкості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0,0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Коефіцієнт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зносу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основних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засобів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0,8</w:t>
            </w:r>
          </w:p>
        </w:tc>
      </w:tr>
      <w:tr w:rsidR="00E66475" w:rsidRPr="00C02AB8" w:rsidTr="0017515F">
        <w:trPr>
          <w:trHeight w:val="70"/>
          <w:jc w:val="center"/>
        </w:trPr>
        <w:tc>
          <w:tcPr>
            <w:tcW w:w="9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75" w:rsidRPr="00C02AB8" w:rsidRDefault="00E66475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8027F" w:rsidRPr="00C02AB8" w:rsidTr="0017515F">
        <w:trPr>
          <w:trHeight w:val="375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Необоротні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активи,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числі: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277646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275287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276359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278645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273420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271484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272554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274926</w:t>
            </w:r>
          </w:p>
        </w:tc>
      </w:tr>
      <w:tr w:rsidR="00D8027F" w:rsidRPr="00C02AB8" w:rsidTr="00D8027F">
        <w:trPr>
          <w:trHeight w:val="198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1340051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1343923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1351250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1358937</w:t>
            </w:r>
          </w:p>
        </w:tc>
      </w:tr>
      <w:tr w:rsidR="00D8027F" w:rsidRPr="00C02AB8" w:rsidTr="00D8027F">
        <w:trPr>
          <w:trHeight w:val="16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1066631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1072439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1078696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1084011</w:t>
            </w:r>
          </w:p>
        </w:tc>
      </w:tr>
      <w:tr w:rsidR="00D8027F" w:rsidRPr="00C02AB8" w:rsidTr="00D8027F">
        <w:trPr>
          <w:trHeight w:val="15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числі: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58152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65694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85089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92035</w:t>
            </w:r>
          </w:p>
        </w:tc>
      </w:tr>
      <w:tr w:rsidR="00D8027F" w:rsidRPr="00C02AB8" w:rsidTr="00D8027F">
        <w:trPr>
          <w:trHeight w:val="112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еквіваленти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1615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1747</w:t>
            </w:r>
          </w:p>
        </w:tc>
      </w:tr>
      <w:tr w:rsidR="00D8027F" w:rsidRPr="00C02AB8" w:rsidTr="00D8027F">
        <w:trPr>
          <w:trHeight w:val="89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335798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340981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361448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7F" w:rsidRPr="00C02AB8" w:rsidRDefault="0017515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370680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Довгострокові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зобов'язання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забезпечення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791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зобов'язання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212392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260527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326388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356562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зобов'язання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забезпечення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212392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261318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326996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356562</w:t>
            </w:r>
          </w:p>
        </w:tc>
      </w:tr>
      <w:tr w:rsidR="00D8027F" w:rsidRPr="00C02AB8" w:rsidTr="0017515F">
        <w:trPr>
          <w:trHeight w:val="7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субсидії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11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27F" w:rsidRPr="00C02AB8" w:rsidRDefault="00D8027F" w:rsidP="00F618F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color w:val="000000"/>
                <w:sz w:val="24"/>
                <w:szCs w:val="24"/>
              </w:rPr>
              <w:t>запозичення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D8027F" w:rsidRPr="00C02AB8" w:rsidTr="0017515F">
        <w:trPr>
          <w:trHeight w:val="86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123406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79663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D8027F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34425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7F" w:rsidRPr="00C02AB8" w:rsidRDefault="00870B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14118</w:t>
            </w:r>
          </w:p>
        </w:tc>
      </w:tr>
    </w:tbl>
    <w:p w:rsidR="00E94965" w:rsidRPr="00C02AB8" w:rsidRDefault="00E94965" w:rsidP="00C02AB8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3"/>
        <w:gridCol w:w="1256"/>
        <w:gridCol w:w="1077"/>
        <w:gridCol w:w="1598"/>
        <w:gridCol w:w="1358"/>
      </w:tblGrid>
      <w:tr w:rsidR="00E66475" w:rsidRPr="00C02AB8" w:rsidTr="00937920">
        <w:trPr>
          <w:trHeight w:val="375"/>
          <w:jc w:val="center"/>
        </w:trPr>
        <w:tc>
          <w:tcPr>
            <w:tcW w:w="9855" w:type="dxa"/>
            <w:gridSpan w:val="6"/>
            <w:vAlign w:val="center"/>
          </w:tcPr>
          <w:p w:rsidR="00E66475" w:rsidRPr="00C02AB8" w:rsidRDefault="00E66475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ПОЛІТИКА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03" w:type="dxa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Повернуто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залучених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коштів,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усього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кредиту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gridSpan w:val="2"/>
            <w:vAlign w:val="center"/>
          </w:tcPr>
          <w:p w:rsidR="00967AC8" w:rsidRPr="00C02AB8" w:rsidRDefault="00967AC8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7" w:type="dxa"/>
            <w:vAlign w:val="center"/>
          </w:tcPr>
          <w:p w:rsidR="00967AC8" w:rsidRPr="00C02AB8" w:rsidRDefault="00967AC8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6669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7641</w:t>
            </w:r>
          </w:p>
        </w:tc>
        <w:tc>
          <w:tcPr>
            <w:tcW w:w="1358" w:type="dxa"/>
            <w:vAlign w:val="center"/>
          </w:tcPr>
          <w:p w:rsidR="00967AC8" w:rsidRPr="00C02AB8" w:rsidRDefault="00937920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9238</w:t>
            </w:r>
          </w:p>
        </w:tc>
      </w:tr>
      <w:tr w:rsidR="00E66475" w:rsidRPr="00C02AB8" w:rsidTr="00937920">
        <w:trPr>
          <w:trHeight w:val="375"/>
          <w:jc w:val="center"/>
        </w:trPr>
        <w:tc>
          <w:tcPr>
            <w:tcW w:w="9855" w:type="dxa"/>
            <w:gridSpan w:val="6"/>
            <w:vAlign w:val="center"/>
          </w:tcPr>
          <w:p w:rsidR="00E66475" w:rsidRPr="00C02AB8" w:rsidRDefault="00E66475" w:rsidP="00986F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VIII.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02AB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ПРАЦІ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(штатних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працівників,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зовнішніх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сумісників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працівників,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працюють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цивільно-правовими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договорами)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539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326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адміністративно-управлінський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працівники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241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оплату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праці,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23707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22036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23950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26179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оплату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праці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одного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працівника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(грн),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усього,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b/>
                <w:bCs/>
                <w:sz w:val="24"/>
                <w:szCs w:val="24"/>
              </w:rPr>
              <w:t>числі: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3665,3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4260,6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5483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6692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13417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10250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10191,7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30608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адміністративно-управлінський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AB8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4148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4995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6664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8122,5</w:t>
            </w:r>
          </w:p>
        </w:tc>
      </w:tr>
      <w:tr w:rsidR="00967AC8" w:rsidRPr="00C02AB8" w:rsidTr="00937920">
        <w:trPr>
          <w:trHeight w:val="375"/>
          <w:jc w:val="center"/>
        </w:trPr>
        <w:tc>
          <w:tcPr>
            <w:tcW w:w="4566" w:type="dxa"/>
            <w:gridSpan w:val="2"/>
            <w:vAlign w:val="center"/>
          </w:tcPr>
          <w:p w:rsidR="00967AC8" w:rsidRPr="00C02AB8" w:rsidRDefault="00967AC8" w:rsidP="00F618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B8">
              <w:rPr>
                <w:rFonts w:ascii="Times New Roman" w:hAnsi="Times New Roman"/>
                <w:sz w:val="24"/>
                <w:szCs w:val="24"/>
              </w:rPr>
              <w:t>працівники</w:t>
            </w:r>
          </w:p>
        </w:tc>
        <w:tc>
          <w:tcPr>
            <w:tcW w:w="1256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3476</w:t>
            </w:r>
          </w:p>
        </w:tc>
        <w:tc>
          <w:tcPr>
            <w:tcW w:w="1077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1598" w:type="dxa"/>
            <w:vAlign w:val="center"/>
          </w:tcPr>
          <w:p w:rsidR="00967AC8" w:rsidRPr="00C02AB8" w:rsidRDefault="00967AC8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2AB8">
              <w:rPr>
                <w:rFonts w:ascii="Times New Roman" w:hAnsi="Times New Roman"/>
                <w:sz w:val="24"/>
                <w:szCs w:val="24"/>
                <w:lang w:eastAsia="uk-UA"/>
              </w:rPr>
              <w:t>5093</w:t>
            </w:r>
          </w:p>
        </w:tc>
        <w:tc>
          <w:tcPr>
            <w:tcW w:w="1358" w:type="dxa"/>
            <w:vAlign w:val="center"/>
          </w:tcPr>
          <w:p w:rsidR="00967AC8" w:rsidRPr="00C02AB8" w:rsidRDefault="00F7053D" w:rsidP="00F61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6198,9</w:t>
            </w:r>
          </w:p>
        </w:tc>
      </w:tr>
    </w:tbl>
    <w:p w:rsidR="00E85DA4" w:rsidRDefault="00E85DA4" w:rsidP="003F1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642" w:rsidRDefault="00B77642" w:rsidP="003F1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883" w:rsidRDefault="007F30F9" w:rsidP="003F18F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7F0">
        <w:rPr>
          <w:noProof/>
          <w:lang w:eastAsia="uk-UA"/>
        </w:rPr>
        <w:object w:dxaOrig="7220" w:dyaOrig="4340">
          <v:shape id="_x0000_i1030" type="#_x0000_t75" style="width:361.25pt;height:217.25pt;visibility:visible" o:ole="">
            <v:imagedata r:id="rId18" o:title=""/>
            <o:lock v:ext="edit" aspectratio="f"/>
          </v:shape>
          <o:OLEObject Type="Embed" ProgID="Excel.Sheet.8" ShapeID="_x0000_i1030" DrawAspect="Content" ObjectID="_1644320104" r:id="rId19">
            <o:FieldCodes>\s</o:FieldCodes>
          </o:OLEObject>
        </w:object>
      </w:r>
    </w:p>
    <w:p w:rsidR="00357941" w:rsidRPr="00357941" w:rsidRDefault="004C0590" w:rsidP="004C059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 xml:space="preserve">Рис </w:t>
      </w:r>
      <w:r w:rsidR="00197832">
        <w:rPr>
          <w:rFonts w:ascii="Times New Roman" w:hAnsi="Times New Roman"/>
          <w:lang w:eastAsia="uk-UA"/>
        </w:rPr>
        <w:t>2.6</w:t>
      </w:r>
      <w:r w:rsidRPr="00357941">
        <w:rPr>
          <w:rFonts w:ascii="Times New Roman" w:hAnsi="Times New Roman"/>
          <w:lang w:eastAsia="uk-UA"/>
        </w:rPr>
        <w:t>. Діагра</w:t>
      </w:r>
      <w:r w:rsidR="00357941" w:rsidRPr="00357941">
        <w:rPr>
          <w:rFonts w:ascii="Times New Roman" w:hAnsi="Times New Roman"/>
          <w:lang w:eastAsia="uk-UA"/>
        </w:rPr>
        <w:t xml:space="preserve">ма  зміни середньої кількості працівників </w:t>
      </w:r>
    </w:p>
    <w:p w:rsidR="004C0590" w:rsidRPr="00357941" w:rsidRDefault="004C0590" w:rsidP="004C059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357941">
        <w:rPr>
          <w:rFonts w:ascii="Times New Roman" w:hAnsi="Times New Roman"/>
          <w:lang w:eastAsia="uk-UA"/>
        </w:rPr>
        <w:t xml:space="preserve"> на АТ «ПКМЗ» </w:t>
      </w:r>
    </w:p>
    <w:p w:rsidR="004C0590" w:rsidRDefault="004C0590" w:rsidP="004C059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357941">
        <w:rPr>
          <w:rFonts w:ascii="Times New Roman" w:hAnsi="Times New Roman"/>
          <w:lang w:eastAsia="uk-UA"/>
        </w:rPr>
        <w:t>за період 2016-2019 рр.</w:t>
      </w:r>
    </w:p>
    <w:p w:rsidR="00DC754E" w:rsidRPr="00357941" w:rsidRDefault="00DC754E" w:rsidP="004C0590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E94965" w:rsidRPr="00966322" w:rsidRDefault="00E94965" w:rsidP="003F1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322">
        <w:rPr>
          <w:rFonts w:ascii="Times New Roman" w:hAnsi="Times New Roman"/>
          <w:sz w:val="28"/>
          <w:szCs w:val="28"/>
          <w:lang w:eastAsia="ru-RU"/>
        </w:rPr>
        <w:t>На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322">
        <w:rPr>
          <w:rFonts w:ascii="Times New Roman" w:hAnsi="Times New Roman"/>
          <w:sz w:val="28"/>
          <w:szCs w:val="28"/>
          <w:lang w:eastAsia="ru-RU"/>
        </w:rPr>
        <w:t>діаграмі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322" w:rsidRPr="00966322">
        <w:rPr>
          <w:rFonts w:ascii="Times New Roman" w:hAnsi="Times New Roman"/>
          <w:sz w:val="28"/>
          <w:szCs w:val="28"/>
          <w:lang w:eastAsia="ru-RU"/>
        </w:rPr>
        <w:t>(рис.2.5</w:t>
      </w:r>
      <w:r w:rsidRPr="00966322">
        <w:rPr>
          <w:rFonts w:ascii="Times New Roman" w:hAnsi="Times New Roman"/>
          <w:sz w:val="28"/>
          <w:szCs w:val="28"/>
          <w:lang w:eastAsia="ru-RU"/>
        </w:rPr>
        <w:t>.)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322">
        <w:rPr>
          <w:rFonts w:ascii="Times New Roman" w:hAnsi="Times New Roman"/>
          <w:sz w:val="28"/>
          <w:szCs w:val="28"/>
          <w:lang w:eastAsia="ru-RU"/>
        </w:rPr>
        <w:t>спостерігається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322">
        <w:rPr>
          <w:rFonts w:ascii="Times New Roman" w:hAnsi="Times New Roman"/>
          <w:sz w:val="28"/>
          <w:szCs w:val="28"/>
          <w:lang w:eastAsia="ru-RU"/>
        </w:rPr>
        <w:t>зменшення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322">
        <w:rPr>
          <w:rFonts w:ascii="Times New Roman" w:hAnsi="Times New Roman"/>
          <w:sz w:val="28"/>
          <w:szCs w:val="28"/>
          <w:lang w:eastAsia="ru-RU"/>
        </w:rPr>
        <w:t>кількості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322">
        <w:rPr>
          <w:rFonts w:ascii="Times New Roman" w:hAnsi="Times New Roman"/>
          <w:sz w:val="28"/>
          <w:szCs w:val="28"/>
          <w:lang w:eastAsia="ru-RU"/>
        </w:rPr>
        <w:t>працівників</w:t>
      </w:r>
      <w:r w:rsidR="005C12C9" w:rsidRPr="00966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322" w:rsidRPr="00966322">
        <w:rPr>
          <w:rFonts w:ascii="Times New Roman" w:hAnsi="Times New Roman"/>
          <w:sz w:val="28"/>
          <w:szCs w:val="28"/>
          <w:lang w:eastAsia="ru-RU"/>
        </w:rPr>
        <w:t>.</w:t>
      </w:r>
    </w:p>
    <w:p w:rsidR="00AE1C84" w:rsidRPr="00AE1C84" w:rsidRDefault="00AE1C84" w:rsidP="00AE1C84">
      <w:pPr>
        <w:pStyle w:val="a9"/>
        <w:ind w:firstLine="708"/>
        <w:jc w:val="both"/>
        <w:rPr>
          <w:sz w:val="28"/>
          <w:szCs w:val="28"/>
        </w:rPr>
      </w:pPr>
      <w:r w:rsidRPr="00AE1C84">
        <w:rPr>
          <w:sz w:val="28"/>
          <w:szCs w:val="28"/>
        </w:rPr>
        <w:t xml:space="preserve">У 2019 році чисельність зменшилась на - 38 осіб , середньомісячна заробітна плата одного працівника  виросла  на 122,0 %. </w:t>
      </w:r>
    </w:p>
    <w:p w:rsidR="00AE1C84" w:rsidRPr="00AE1C84" w:rsidRDefault="00AE1C84" w:rsidP="00AE1C84">
      <w:pPr>
        <w:pStyle w:val="a9"/>
        <w:ind w:firstLine="708"/>
        <w:jc w:val="both"/>
        <w:rPr>
          <w:sz w:val="28"/>
          <w:szCs w:val="28"/>
        </w:rPr>
      </w:pPr>
      <w:r w:rsidRPr="00AE1C84">
        <w:rPr>
          <w:sz w:val="28"/>
          <w:szCs w:val="28"/>
        </w:rPr>
        <w:t>За організаційною структурою  АТ «ПКМЗ» являє собою традиційну модель підприємства з повним закінченим циклом виробництва, який забезпечується складною і потужною структурою основного , допоміжного і обслуговуючого виробництва.</w:t>
      </w:r>
    </w:p>
    <w:p w:rsidR="00AE1C84" w:rsidRPr="00AE1C84" w:rsidRDefault="00AE1C84" w:rsidP="00AE1C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1C84">
        <w:rPr>
          <w:rFonts w:ascii="Times New Roman" w:hAnsi="Times New Roman"/>
          <w:sz w:val="28"/>
          <w:szCs w:val="28"/>
        </w:rPr>
        <w:t>Товариство має висококваліфікований інженерно-технічний персонал, робітників широкого профілю та високої кваліфікації.</w:t>
      </w:r>
    </w:p>
    <w:p w:rsidR="00AE1C84" w:rsidRPr="00AE1C84" w:rsidRDefault="00AE1C84" w:rsidP="00AE1C84">
      <w:pPr>
        <w:pStyle w:val="a9"/>
        <w:ind w:firstLine="567"/>
        <w:jc w:val="both"/>
        <w:rPr>
          <w:sz w:val="28"/>
          <w:szCs w:val="28"/>
        </w:rPr>
      </w:pPr>
      <w:r w:rsidRPr="00AE1C84">
        <w:rPr>
          <w:sz w:val="28"/>
          <w:szCs w:val="28"/>
        </w:rPr>
        <w:t xml:space="preserve">Підприємство згідно статей Закону України «Про Державний бюджет України» встановлювало в зазначені терміни мінімальну заробітну плату , своєчасно проводить індексацію заробітної плати. З метою оптимізації виробництва, економією енергоресурсів проводиться зменшення чисельності </w:t>
      </w:r>
      <w:r w:rsidRPr="00AE1C84">
        <w:rPr>
          <w:sz w:val="28"/>
          <w:szCs w:val="28"/>
        </w:rPr>
        <w:lastRenderedPageBreak/>
        <w:t>штату, та впроваджується неповне використання робочого часу для деяких категорій працівників.</w:t>
      </w:r>
    </w:p>
    <w:p w:rsidR="00AE1C84" w:rsidRPr="00AE1C84" w:rsidRDefault="00AE1C84" w:rsidP="00AE1C84">
      <w:pPr>
        <w:pStyle w:val="a9"/>
        <w:ind w:firstLine="567"/>
        <w:jc w:val="both"/>
        <w:rPr>
          <w:sz w:val="28"/>
          <w:szCs w:val="28"/>
        </w:rPr>
      </w:pPr>
      <w:r w:rsidRPr="00AE1C84">
        <w:rPr>
          <w:sz w:val="28"/>
          <w:szCs w:val="28"/>
        </w:rPr>
        <w:t>На підприємстві діє погодинно-преміальна система оплати праці.</w:t>
      </w:r>
    </w:p>
    <w:p w:rsidR="00AE1C84" w:rsidRPr="00AE1C84" w:rsidRDefault="00AE1C84" w:rsidP="00AE1C84">
      <w:pPr>
        <w:pStyle w:val="a9"/>
        <w:ind w:firstLine="567"/>
        <w:jc w:val="both"/>
        <w:rPr>
          <w:sz w:val="28"/>
          <w:szCs w:val="28"/>
        </w:rPr>
      </w:pPr>
      <w:r w:rsidRPr="00AE1C84">
        <w:rPr>
          <w:sz w:val="28"/>
          <w:szCs w:val="28"/>
        </w:rPr>
        <w:t>Заборгованості з виплат заробітної плати не має.</w:t>
      </w:r>
    </w:p>
    <w:p w:rsidR="00E94965" w:rsidRPr="00197832" w:rsidRDefault="00E94965" w:rsidP="003F18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5EA0" w:rsidRPr="00197832" w:rsidRDefault="00265EA0" w:rsidP="003F18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5EA0" w:rsidRPr="00197832" w:rsidRDefault="00265EA0" w:rsidP="003F18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5EA0" w:rsidRDefault="00B77642" w:rsidP="003F18F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D37F0">
        <w:rPr>
          <w:noProof/>
          <w:lang w:eastAsia="uk-UA"/>
        </w:rPr>
        <w:object w:dxaOrig="7220" w:dyaOrig="4340">
          <v:shape id="_x0000_i1031" type="#_x0000_t75" style="width:361.25pt;height:217.25pt;visibility:visible" o:ole="">
            <v:imagedata r:id="rId20" o:title=""/>
            <o:lock v:ext="edit" aspectratio="f"/>
          </v:shape>
          <o:OLEObject Type="Embed" ProgID="Excel.Sheet.8" ShapeID="_x0000_i1031" DrawAspect="Content" ObjectID="_1644320105" r:id="rId21">
            <o:FieldCodes>\s</o:FieldCodes>
          </o:OLEObject>
        </w:object>
      </w:r>
    </w:p>
    <w:p w:rsidR="00A10710" w:rsidRPr="00357941" w:rsidRDefault="00A10710" w:rsidP="00A1071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2D7B06">
        <w:rPr>
          <w:rFonts w:ascii="Times New Roman" w:hAnsi="Times New Roman"/>
          <w:lang w:eastAsia="uk-UA"/>
        </w:rPr>
        <w:t xml:space="preserve">Рис </w:t>
      </w:r>
      <w:r w:rsidR="00197832">
        <w:rPr>
          <w:rFonts w:ascii="Times New Roman" w:hAnsi="Times New Roman"/>
          <w:lang w:eastAsia="uk-UA"/>
        </w:rPr>
        <w:t>2.7</w:t>
      </w:r>
      <w:r w:rsidRPr="00357941">
        <w:rPr>
          <w:rFonts w:ascii="Times New Roman" w:hAnsi="Times New Roman"/>
          <w:lang w:eastAsia="uk-UA"/>
        </w:rPr>
        <w:t>. Діаграма  змін</w:t>
      </w:r>
      <w:r>
        <w:rPr>
          <w:rFonts w:ascii="Times New Roman" w:hAnsi="Times New Roman"/>
          <w:lang w:eastAsia="uk-UA"/>
        </w:rPr>
        <w:t xml:space="preserve"> витрат на оплату праці</w:t>
      </w:r>
    </w:p>
    <w:p w:rsidR="00A10710" w:rsidRPr="00357941" w:rsidRDefault="00A10710" w:rsidP="00A1071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357941">
        <w:rPr>
          <w:rFonts w:ascii="Times New Roman" w:hAnsi="Times New Roman"/>
          <w:lang w:eastAsia="uk-UA"/>
        </w:rPr>
        <w:t xml:space="preserve"> на АТ «ПКМЗ» </w:t>
      </w:r>
    </w:p>
    <w:p w:rsidR="00A10710" w:rsidRPr="00357941" w:rsidRDefault="00A10710" w:rsidP="00A1071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357941">
        <w:rPr>
          <w:rFonts w:ascii="Times New Roman" w:hAnsi="Times New Roman"/>
          <w:lang w:eastAsia="uk-UA"/>
        </w:rPr>
        <w:t>за період 2016-2019 рр.</w:t>
      </w:r>
    </w:p>
    <w:p w:rsidR="005C12C9" w:rsidRPr="00A10710" w:rsidRDefault="005C12C9" w:rsidP="003F18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E94965" w:rsidRDefault="00E94965" w:rsidP="005836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eastAsia="ru-RU"/>
        </w:rPr>
      </w:pPr>
      <w:r w:rsidRPr="00A10710">
        <w:rPr>
          <w:rFonts w:ascii="Times New Roman" w:hAnsi="Times New Roman"/>
          <w:b/>
          <w:sz w:val="28"/>
          <w:szCs w:val="24"/>
          <w:lang w:eastAsia="ru-RU"/>
        </w:rPr>
        <w:t>Враховуючи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дані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наведені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в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таблиці</w:t>
      </w:r>
      <w:r w:rsidR="003A2D48">
        <w:rPr>
          <w:rFonts w:ascii="Times New Roman" w:hAnsi="Times New Roman"/>
          <w:b/>
          <w:sz w:val="28"/>
          <w:szCs w:val="24"/>
          <w:lang w:eastAsia="ru-RU"/>
        </w:rPr>
        <w:t xml:space="preserve"> 2.1.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можна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зробити</w:t>
      </w:r>
      <w:r w:rsidR="005C12C9" w:rsidRPr="00A1071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b/>
          <w:sz w:val="28"/>
          <w:szCs w:val="24"/>
          <w:lang w:eastAsia="ru-RU"/>
        </w:rPr>
        <w:t>висновки:</w:t>
      </w:r>
    </w:p>
    <w:p w:rsidR="0085114D" w:rsidRPr="00A10710" w:rsidRDefault="0085114D" w:rsidP="005836CD">
      <w:pPr>
        <w:spacing w:after="0" w:line="240" w:lineRule="auto"/>
        <w:ind w:firstLine="708"/>
        <w:rPr>
          <w:rFonts w:ascii="Times New Roman" w:hAnsi="Times New Roman"/>
          <w:b/>
          <w:sz w:val="28"/>
          <w:szCs w:val="24"/>
          <w:lang w:eastAsia="ru-RU"/>
        </w:rPr>
      </w:pPr>
    </w:p>
    <w:p w:rsidR="00E94965" w:rsidRPr="00A10710" w:rsidRDefault="00E94965" w:rsidP="005836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10710">
        <w:rPr>
          <w:rFonts w:ascii="Times New Roman" w:hAnsi="Times New Roman"/>
          <w:sz w:val="28"/>
          <w:szCs w:val="24"/>
          <w:lang w:eastAsia="ru-RU"/>
        </w:rPr>
        <w:t>Зростає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дохід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від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реалізації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продукції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(збільшується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випуск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промислової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продукції,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робіт,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послуг)</w:t>
      </w:r>
    </w:p>
    <w:p w:rsidR="00E94965" w:rsidRPr="00A10710" w:rsidRDefault="00E94965" w:rsidP="005836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10710">
        <w:rPr>
          <w:rFonts w:ascii="Times New Roman" w:hAnsi="Times New Roman"/>
          <w:sz w:val="28"/>
          <w:szCs w:val="24"/>
          <w:lang w:eastAsia="ru-RU"/>
        </w:rPr>
        <w:t>Поступово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збільшується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показник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валюти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балансу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що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вказує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на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процес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збільшення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грошових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потоків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,що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є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позитивною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рисою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у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діяльності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підприємства;</w:t>
      </w:r>
    </w:p>
    <w:p w:rsidR="00E94965" w:rsidRPr="00A10710" w:rsidRDefault="00E94965" w:rsidP="005836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10710">
        <w:rPr>
          <w:rFonts w:ascii="Times New Roman" w:hAnsi="Times New Roman"/>
          <w:sz w:val="28"/>
          <w:szCs w:val="24"/>
          <w:lang w:eastAsia="ru-RU"/>
        </w:rPr>
        <w:t>Показник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рентабельності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діяльності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підприємства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збільшується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,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що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вказує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на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проведення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ефективної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господарської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діяльності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;</w:t>
      </w:r>
    </w:p>
    <w:p w:rsidR="00E94965" w:rsidRPr="00A10710" w:rsidRDefault="00E94965" w:rsidP="005836CD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A10710">
        <w:rPr>
          <w:rFonts w:ascii="Times New Roman" w:hAnsi="Times New Roman"/>
          <w:sz w:val="28"/>
          <w:szCs w:val="24"/>
          <w:lang w:eastAsia="ru-RU"/>
        </w:rPr>
        <w:t>По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відношенню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до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попередніх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періодів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збільшилась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заробітна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плата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(виплати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проводяться</w:t>
      </w:r>
      <w:r w:rsidR="005C12C9" w:rsidRPr="00A107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10710">
        <w:rPr>
          <w:rFonts w:ascii="Times New Roman" w:hAnsi="Times New Roman"/>
          <w:sz w:val="28"/>
          <w:szCs w:val="24"/>
          <w:lang w:eastAsia="ru-RU"/>
        </w:rPr>
        <w:t>своєчасно);</w:t>
      </w:r>
    </w:p>
    <w:p w:rsidR="00E94965" w:rsidRPr="00C02AB8" w:rsidRDefault="00E94965" w:rsidP="00453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7CC" w:rsidRDefault="008867CC" w:rsidP="00C02A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4965" w:rsidRPr="00C02AB8" w:rsidRDefault="00E94965" w:rsidP="00C02A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Розділ.3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Ліквідність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зобов'язання.</w:t>
      </w:r>
    </w:p>
    <w:p w:rsidR="00E94965" w:rsidRPr="00C02AB8" w:rsidRDefault="00E94965" w:rsidP="004A3A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  <w:lang w:eastAsia="ru-RU"/>
        </w:rPr>
        <w:t>Фінансування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відбувається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госпрозрахунковій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основі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рахунок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власних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коштів.</w:t>
      </w: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  <w:lang w:eastAsia="ru-RU"/>
        </w:rPr>
        <w:t>При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відсутності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кредитування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господарської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A06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інвестування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прибуткової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нової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техніки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,Товариство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розраховує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у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своїй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2AB8">
        <w:rPr>
          <w:rFonts w:ascii="Times New Roman" w:hAnsi="Times New Roman"/>
          <w:sz w:val="28"/>
          <w:szCs w:val="28"/>
          <w:lang w:eastAsia="ru-RU"/>
        </w:rPr>
        <w:t>фінансовій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тільки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власні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фінансові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ресурси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які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2AB8">
        <w:rPr>
          <w:rFonts w:ascii="Times New Roman" w:hAnsi="Times New Roman"/>
          <w:sz w:val="28"/>
          <w:szCs w:val="28"/>
          <w:lang w:eastAsia="ru-RU"/>
        </w:rPr>
        <w:t>повністю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залежать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хаотичності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ринку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обсягів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реалізації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продукції.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Фінансово-господарська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діяльність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залежить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авансування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передплат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продукції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що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замовники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ідуть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неохоче.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  <w:lang w:eastAsia="ru-RU"/>
        </w:rPr>
        <w:lastRenderedPageBreak/>
        <w:t>Для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замовлень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експорт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необхідно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було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би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відкрити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постійно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діючу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кредитну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лінію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яка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б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забезпечила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стабільне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(безперебійне)виробництво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техніки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A06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що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користується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попитом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кордоном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також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позбавить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від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постійної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залежності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через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авансов</w:t>
      </w:r>
      <w:r w:rsidR="00F7053D">
        <w:rPr>
          <w:rFonts w:ascii="Times New Roman" w:hAnsi="Times New Roman"/>
          <w:sz w:val="28"/>
          <w:szCs w:val="28"/>
          <w:lang w:eastAsia="ru-RU"/>
        </w:rPr>
        <w:t>их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платежі</w:t>
      </w:r>
      <w:r w:rsidR="00F7053D">
        <w:rPr>
          <w:rFonts w:ascii="Times New Roman" w:hAnsi="Times New Roman"/>
          <w:sz w:val="28"/>
          <w:szCs w:val="28"/>
          <w:lang w:eastAsia="ru-RU"/>
        </w:rPr>
        <w:t>в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передоплати.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сьогодні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ці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кошти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вилучаються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з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інших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обов'язкових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платежів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,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що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негативно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впливає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на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фінансовий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результат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АТ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8"/>
          <w:lang w:eastAsia="ru-RU"/>
        </w:rPr>
        <w:t>«ПКМЗ».</w:t>
      </w: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color w:val="000000"/>
          <w:sz w:val="28"/>
          <w:szCs w:val="28"/>
        </w:rPr>
        <w:t>Коефіцієнт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поточної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ліквідності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показує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співвідношення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зобов'язань.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8"/>
        </w:rPr>
        <w:t>це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середньо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8"/>
        </w:rPr>
        <w:t>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високоліквідна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частина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підприємства.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Особливість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порівняно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необоротними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полягає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тому,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що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вони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можуть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бути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перетворені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грошові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кошти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протягом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одного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року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(якщо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період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одного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виробничого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циклу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вищий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одного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року,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то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протягом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одного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виробничого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циклу).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Показник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поточної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ліквідності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8"/>
        </w:rPr>
        <w:t>це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індикатор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здатності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компанії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відповідати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поточними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зобов'язаннями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допомогою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активів.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Показник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демонструє,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скільки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компанії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є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гривень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коштів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на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кожну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гривню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зобов’язань.</w:t>
      </w: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Коефіцієнт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поточної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ліквідності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підприємству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E1C84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рік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становить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0,3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(при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нормативному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значені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1-2</w:t>
      </w:r>
      <w:r w:rsidR="005C1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Показник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нижче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свідчить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проблемний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стан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платоспроможності,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адже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оборотних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активів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недостатньо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для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того,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щоб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відповісти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поточними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зобов'язаннями.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Це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веде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зниження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довіри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підприємства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боку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кредиторів,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постачальників,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інвесторів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партнерів.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Крім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цього,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проблеми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платоспроможністю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ведуть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збільшення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вартості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позикових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коштів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і,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як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результат,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до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прямих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фінансових</w:t>
      </w:r>
      <w:r w:rsidR="005C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</w:rPr>
        <w:t>втрат.</w:t>
      </w:r>
    </w:p>
    <w:p w:rsidR="00E94965" w:rsidRPr="00C02AB8" w:rsidRDefault="00E94965" w:rsidP="00583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B8">
        <w:rPr>
          <w:rFonts w:ascii="Times New Roman" w:hAnsi="Times New Roman"/>
          <w:sz w:val="28"/>
          <w:szCs w:val="28"/>
        </w:rPr>
        <w:t>Для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підвищення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значення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поточної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ліквідності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підприємству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необхідно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працювати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напрямку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підвищення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суми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оборотних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активів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і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зниження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суми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поточних</w:t>
      </w:r>
      <w:r w:rsidR="005C12C9">
        <w:rPr>
          <w:rFonts w:ascii="Times New Roman" w:hAnsi="Times New Roman"/>
          <w:sz w:val="28"/>
          <w:szCs w:val="28"/>
        </w:rPr>
        <w:t xml:space="preserve"> </w:t>
      </w:r>
      <w:r w:rsidRPr="00C02AB8">
        <w:rPr>
          <w:rFonts w:ascii="Times New Roman" w:hAnsi="Times New Roman"/>
          <w:sz w:val="28"/>
          <w:szCs w:val="28"/>
        </w:rPr>
        <w:t>зобов'язань.</w:t>
      </w:r>
      <w:r w:rsidR="005C12C9">
        <w:rPr>
          <w:rFonts w:ascii="Times New Roman" w:hAnsi="Times New Roman"/>
          <w:sz w:val="28"/>
          <w:szCs w:val="28"/>
        </w:rPr>
        <w:t xml:space="preserve"> </w:t>
      </w:r>
    </w:p>
    <w:p w:rsidR="00E94965" w:rsidRPr="00C02AB8" w:rsidRDefault="00E94965" w:rsidP="0045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53D" w:rsidRDefault="00F7053D" w:rsidP="000B0CC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4965" w:rsidRPr="00573F2F" w:rsidRDefault="00E94965" w:rsidP="000B0CC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Розділ.4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Екологічні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аспекти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діяльності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підприємства.</w:t>
      </w:r>
    </w:p>
    <w:p w:rsidR="00E94965" w:rsidRPr="00C02AB8" w:rsidRDefault="00E94965" w:rsidP="001000AA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4965" w:rsidRPr="00C02AB8" w:rsidRDefault="00E94965" w:rsidP="005836CD">
      <w:pPr>
        <w:pStyle w:val="11"/>
        <w:shd w:val="clear" w:color="auto" w:fill="auto"/>
        <w:tabs>
          <w:tab w:val="left" w:pos="1125"/>
        </w:tabs>
        <w:spacing w:after="0"/>
        <w:ind w:firstLine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підприємстві</w:t>
      </w:r>
      <w:r w:rsidR="005C12C9">
        <w:rPr>
          <w:color w:val="000000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впровадиться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настанова</w:t>
      </w:r>
      <w:r w:rsidR="005C12C9">
        <w:rPr>
          <w:color w:val="000000"/>
          <w:sz w:val="28"/>
          <w:szCs w:val="28"/>
          <w:lang w:eastAsia="uk-UA"/>
        </w:rPr>
        <w:t xml:space="preserve">  </w:t>
      </w:r>
      <w:r w:rsidRPr="00C02AB8">
        <w:rPr>
          <w:color w:val="000000"/>
          <w:sz w:val="28"/>
          <w:szCs w:val="28"/>
          <w:lang w:eastAsia="uk-UA"/>
        </w:rPr>
        <w:t>яка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описує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інтегрованої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«ПКМЗ»,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розроблені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відповідно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міжнародних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стандартів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ISO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14001:2004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Environmental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management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systems</w:t>
      </w:r>
      <w:r w:rsidR="005C12C9">
        <w:rPr>
          <w:color w:val="000000"/>
          <w:sz w:val="28"/>
          <w:szCs w:val="28"/>
        </w:rPr>
        <w:t xml:space="preserve"> – </w:t>
      </w:r>
      <w:r w:rsidRPr="00C02AB8">
        <w:rPr>
          <w:color w:val="000000"/>
          <w:sz w:val="28"/>
          <w:szCs w:val="28"/>
        </w:rPr>
        <w:t>Requirements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with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guidance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for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use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OHSAS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18001:2007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Occupational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health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and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safety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management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systems</w:t>
      </w:r>
      <w:r w:rsidR="005C12C9">
        <w:rPr>
          <w:color w:val="000000"/>
          <w:sz w:val="28"/>
          <w:szCs w:val="28"/>
        </w:rPr>
        <w:t xml:space="preserve"> – </w:t>
      </w:r>
      <w:r w:rsidRPr="00C02AB8">
        <w:rPr>
          <w:color w:val="000000"/>
          <w:sz w:val="28"/>
          <w:szCs w:val="28"/>
        </w:rPr>
        <w:t>Specification.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Національні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стандарти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ДСТУ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ISO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14001:2004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застосування»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ДСТУ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OHSAS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18001:2010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Вимоги»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ідентичними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перекладами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міжнародних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стандартів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ISO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14001:2004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OHSAS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18001:2007.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5"/>
        </w:tabs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Настанову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розроблено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метою:</w:t>
      </w:r>
    </w:p>
    <w:p w:rsidR="00E94965" w:rsidRPr="00C02AB8" w:rsidRDefault="00E94965" w:rsidP="009009EB">
      <w:pPr>
        <w:pStyle w:val="11"/>
        <w:shd w:val="clear" w:color="auto" w:fill="auto"/>
        <w:tabs>
          <w:tab w:val="left" w:pos="843"/>
        </w:tabs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а)</w:t>
      </w:r>
      <w:r w:rsidRPr="00C02AB8">
        <w:rPr>
          <w:color w:val="000000"/>
          <w:sz w:val="28"/>
          <w:szCs w:val="28"/>
          <w:lang w:eastAsia="uk-UA"/>
        </w:rPr>
        <w:tab/>
        <w:t>викладу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процедур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lastRenderedPageBreak/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</w:p>
    <w:p w:rsidR="00E94965" w:rsidRPr="00C02AB8" w:rsidRDefault="00E94965" w:rsidP="009009EB">
      <w:pPr>
        <w:pStyle w:val="11"/>
        <w:shd w:val="clear" w:color="auto" w:fill="auto"/>
        <w:tabs>
          <w:tab w:val="left" w:pos="860"/>
        </w:tabs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б)</w:t>
      </w:r>
      <w:r w:rsidRPr="00C02AB8">
        <w:rPr>
          <w:color w:val="000000"/>
          <w:sz w:val="28"/>
          <w:szCs w:val="28"/>
          <w:lang w:eastAsia="uk-UA"/>
        </w:rPr>
        <w:tab/>
        <w:t>визначення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застосування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інтегрованої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управління;</w:t>
      </w:r>
    </w:p>
    <w:p w:rsidR="00E94965" w:rsidRPr="00C02AB8" w:rsidRDefault="00E94965" w:rsidP="009009EB">
      <w:pPr>
        <w:pStyle w:val="11"/>
        <w:shd w:val="clear" w:color="auto" w:fill="auto"/>
        <w:tabs>
          <w:tab w:val="left" w:pos="850"/>
        </w:tabs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в)</w:t>
      </w:r>
      <w:r w:rsidRPr="00C02AB8">
        <w:rPr>
          <w:color w:val="000000"/>
          <w:sz w:val="28"/>
          <w:szCs w:val="28"/>
          <w:lang w:eastAsia="uk-UA"/>
        </w:rPr>
        <w:tab/>
        <w:t>опису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основних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елементів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інтегрованої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управління;</w:t>
      </w:r>
    </w:p>
    <w:p w:rsidR="00E94965" w:rsidRPr="00C02AB8" w:rsidRDefault="00E94965" w:rsidP="009009EB">
      <w:pPr>
        <w:pStyle w:val="11"/>
        <w:shd w:val="clear" w:color="auto" w:fill="auto"/>
        <w:tabs>
          <w:tab w:val="left" w:pos="855"/>
        </w:tabs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г)</w:t>
      </w:r>
      <w:r w:rsidRPr="00C02AB8">
        <w:rPr>
          <w:color w:val="000000"/>
          <w:sz w:val="28"/>
          <w:szCs w:val="28"/>
          <w:lang w:eastAsia="uk-UA"/>
        </w:rPr>
        <w:tab/>
        <w:t>забезпечення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документованої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основи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проведення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перевірок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інтегрованої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управління;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855"/>
        </w:tabs>
        <w:spacing w:after="0"/>
        <w:ind w:firstLine="58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д)</w:t>
      </w:r>
      <w:r w:rsidRPr="00C02AB8">
        <w:rPr>
          <w:color w:val="000000"/>
          <w:sz w:val="28"/>
          <w:szCs w:val="28"/>
          <w:lang w:eastAsia="uk-UA"/>
        </w:rPr>
        <w:tab/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демонстрування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відповідності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ІСУ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ISO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14001:2004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</w:rPr>
        <w:t>OHSAS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18001:2007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частині,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шо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стосується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9"/>
        </w:tabs>
        <w:spacing w:after="0" w:line="257" w:lineRule="auto"/>
        <w:ind w:firstLine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Настанова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описує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діяльності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забезпечують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виконання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галузі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9"/>
        </w:tabs>
        <w:spacing w:after="0" w:line="257" w:lineRule="auto"/>
        <w:ind w:firstLine="709"/>
        <w:rPr>
          <w:color w:val="000000"/>
          <w:sz w:val="28"/>
          <w:szCs w:val="28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Настанова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містить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посилання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документовані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методики,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процеси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робочі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інструкції,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необхідними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планування,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функціонування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процесів,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пов’язаних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аспектами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питаннями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9"/>
        </w:tabs>
        <w:spacing w:after="0" w:line="257" w:lineRule="auto"/>
        <w:ind w:firstLine="709"/>
        <w:rPr>
          <w:color w:val="000000"/>
          <w:sz w:val="28"/>
          <w:szCs w:val="28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Розробником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відділ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міжнародних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стандартів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разом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відповідними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затверджує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голова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правління</w:t>
      </w:r>
      <w:r w:rsidR="005C12C9">
        <w:rPr>
          <w:color w:val="000000"/>
          <w:sz w:val="28"/>
          <w:szCs w:val="28"/>
          <w:lang w:eastAsia="uk-UA"/>
        </w:rPr>
        <w:t xml:space="preserve"> – </w:t>
      </w:r>
      <w:r w:rsidRPr="00C02AB8">
        <w:rPr>
          <w:color w:val="000000"/>
          <w:sz w:val="28"/>
          <w:szCs w:val="28"/>
          <w:lang w:eastAsia="uk-UA"/>
        </w:rPr>
        <w:t>генеральний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директор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«ПКМЗ».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9"/>
        </w:tabs>
        <w:spacing w:after="0" w:line="257" w:lineRule="auto"/>
        <w:ind w:firstLine="709"/>
        <w:rPr>
          <w:color w:val="000000"/>
          <w:sz w:val="28"/>
          <w:szCs w:val="28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Оригінал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затвердженої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зберігається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представника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контрольним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примірником.</w:t>
      </w:r>
    </w:p>
    <w:p w:rsidR="00E94965" w:rsidRPr="00C02AB8" w:rsidRDefault="00E94965" w:rsidP="005836CD">
      <w:pPr>
        <w:pStyle w:val="11"/>
        <w:shd w:val="clear" w:color="auto" w:fill="auto"/>
        <w:tabs>
          <w:tab w:val="left" w:pos="1129"/>
        </w:tabs>
        <w:spacing w:after="0" w:line="257" w:lineRule="auto"/>
        <w:ind w:firstLine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Настановою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документами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ІСУ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представник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уповноважений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змінювати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їх.</w:t>
      </w:r>
    </w:p>
    <w:p w:rsidR="00E94965" w:rsidRPr="00C02AB8" w:rsidRDefault="00E94965" w:rsidP="00A40088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Вище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«ПКМЗ»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забезпечує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виконання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необхідних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щоб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політика:</w:t>
      </w:r>
    </w:p>
    <w:p w:rsidR="00E94965" w:rsidRPr="00C02AB8" w:rsidRDefault="00E94965" w:rsidP="005836CD">
      <w:pPr>
        <w:pStyle w:val="11"/>
        <w:numPr>
          <w:ilvl w:val="0"/>
          <w:numId w:val="10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відповідала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характеру,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масштабу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впливам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довкілля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діяльності,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продукції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послуг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організації;</w:t>
      </w:r>
    </w:p>
    <w:p w:rsidR="00E94965" w:rsidRPr="00C02AB8" w:rsidRDefault="00E94965" w:rsidP="005836CD">
      <w:pPr>
        <w:pStyle w:val="11"/>
        <w:numPr>
          <w:ilvl w:val="0"/>
          <w:numId w:val="10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містила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зобов’язання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постійного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поліпшування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запобігання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забрудненню;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містила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зобов’язання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дотримання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застосовних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правових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зобов’язується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виконувати,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стосовно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її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аспектів;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основою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встановлення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аналізування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цілей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завдань;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задокументована,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запроваджена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підтримувана;</w:t>
      </w:r>
    </w:p>
    <w:p w:rsidR="00E94965" w:rsidRPr="00C02AB8" w:rsidRDefault="00E94965" w:rsidP="005836CD">
      <w:pPr>
        <w:pStyle w:val="11"/>
        <w:numPr>
          <w:ilvl w:val="0"/>
          <w:numId w:val="10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доведена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відома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всіх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осіб,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працюють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або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її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дорученням;</w:t>
      </w:r>
    </w:p>
    <w:p w:rsidR="00E94965" w:rsidRPr="00C02AB8" w:rsidRDefault="00E94965" w:rsidP="005836CD">
      <w:pPr>
        <w:pStyle w:val="11"/>
        <w:numPr>
          <w:ilvl w:val="0"/>
          <w:numId w:val="10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lastRenderedPageBreak/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доступною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громадськості.</w:t>
      </w:r>
    </w:p>
    <w:p w:rsidR="00E94965" w:rsidRPr="00C02AB8" w:rsidRDefault="00E94965" w:rsidP="00A40088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Вище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«ПКМЗ»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забезпечує,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щоб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праці:</w:t>
      </w:r>
    </w:p>
    <w:p w:rsidR="00E94965" w:rsidRPr="00C02AB8" w:rsidRDefault="00E94965" w:rsidP="005836CD">
      <w:pPr>
        <w:pStyle w:val="11"/>
        <w:numPr>
          <w:ilvl w:val="0"/>
          <w:numId w:val="11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відповідала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характеру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масштабу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ризиків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галузі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організації;</w:t>
      </w:r>
    </w:p>
    <w:p w:rsidR="00E94965" w:rsidRPr="00C02AB8" w:rsidRDefault="00E94965" w:rsidP="005836CD">
      <w:pPr>
        <w:pStyle w:val="11"/>
        <w:numPr>
          <w:ilvl w:val="0"/>
          <w:numId w:val="11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включала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обов’язки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постійного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удосконалення;</w:t>
      </w:r>
    </w:p>
    <w:p w:rsidR="00E94965" w:rsidRPr="00C02AB8" w:rsidRDefault="00E94965" w:rsidP="005836CD">
      <w:pPr>
        <w:pStyle w:val="11"/>
        <w:numPr>
          <w:ilvl w:val="0"/>
          <w:numId w:val="11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включала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обов’язки,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відповідають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чинному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законодавству,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також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іншим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вимогам,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погоджується;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задокументована,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впроваджена;</w:t>
      </w:r>
    </w:p>
    <w:p w:rsidR="00E94965" w:rsidRPr="00C02AB8" w:rsidRDefault="00E94965" w:rsidP="005836CD">
      <w:pPr>
        <w:pStyle w:val="11"/>
        <w:numPr>
          <w:ilvl w:val="0"/>
          <w:numId w:val="11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доведена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відома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всього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персоналу,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щоб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кожний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працівник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знав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свої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обов’язки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галузі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була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доступною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зацікавлених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сторін;</w:t>
      </w:r>
    </w:p>
    <w:p w:rsidR="00E94965" w:rsidRPr="00C02AB8" w:rsidRDefault="00E94965" w:rsidP="005836CD">
      <w:pPr>
        <w:pStyle w:val="11"/>
        <w:numPr>
          <w:ilvl w:val="0"/>
          <w:numId w:val="11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періодично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піддавалася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аналізу,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щоб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залишатися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придатною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організації.</w:t>
      </w:r>
    </w:p>
    <w:p w:rsidR="00E94965" w:rsidRPr="00C02AB8" w:rsidRDefault="00E94965" w:rsidP="00A40088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Аналізування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голова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правління</w:t>
      </w:r>
      <w:r w:rsidR="005C12C9">
        <w:rPr>
          <w:color w:val="000000"/>
          <w:sz w:val="28"/>
          <w:szCs w:val="28"/>
          <w:lang w:eastAsia="uk-UA"/>
        </w:rPr>
        <w:t xml:space="preserve"> – </w:t>
      </w:r>
      <w:r w:rsidRPr="00C02AB8">
        <w:rPr>
          <w:color w:val="000000"/>
          <w:sz w:val="28"/>
          <w:szCs w:val="28"/>
          <w:lang w:eastAsia="uk-UA"/>
        </w:rPr>
        <w:t>генеральний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директор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="00197832">
        <w:rPr>
          <w:color w:val="000000"/>
          <w:sz w:val="28"/>
          <w:szCs w:val="28"/>
          <w:lang w:eastAsia="uk-UA"/>
        </w:rPr>
        <w:t>«</w:t>
      </w:r>
      <w:r w:rsidRPr="00C02AB8">
        <w:rPr>
          <w:color w:val="000000"/>
          <w:sz w:val="28"/>
          <w:szCs w:val="28"/>
          <w:lang w:eastAsia="uk-UA"/>
        </w:rPr>
        <w:t>П</w:t>
      </w:r>
      <w:r w:rsidR="00197832">
        <w:rPr>
          <w:color w:val="000000"/>
          <w:sz w:val="28"/>
          <w:szCs w:val="28"/>
          <w:lang w:eastAsia="uk-UA"/>
        </w:rPr>
        <w:t>КМЗ</w:t>
      </w:r>
      <w:r w:rsidRPr="00C02AB8">
        <w:rPr>
          <w:color w:val="000000"/>
          <w:sz w:val="28"/>
          <w:szCs w:val="28"/>
          <w:lang w:eastAsia="uk-UA"/>
        </w:rPr>
        <w:t>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щорічно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час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проведення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аналізу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боку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нараді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якості,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екології.</w:t>
      </w:r>
    </w:p>
    <w:p w:rsidR="00E94965" w:rsidRPr="00C02AB8" w:rsidRDefault="00E94965" w:rsidP="00A40088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Результати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аналізування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оформляються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протоколі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наради,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затверджується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головою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правління</w:t>
      </w:r>
      <w:r w:rsidR="005C12C9">
        <w:rPr>
          <w:color w:val="000000"/>
          <w:sz w:val="28"/>
          <w:szCs w:val="28"/>
          <w:lang w:eastAsia="uk-UA"/>
        </w:rPr>
        <w:t xml:space="preserve"> – </w:t>
      </w:r>
      <w:r w:rsidRPr="00C02AB8">
        <w:rPr>
          <w:color w:val="000000"/>
          <w:sz w:val="28"/>
          <w:szCs w:val="28"/>
          <w:lang w:eastAsia="uk-UA"/>
        </w:rPr>
        <w:t>генеральним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директором.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нараді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може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бути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прийняте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рішення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зміни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або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перегляд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color w:val="000000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Зміни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ru-RU"/>
        </w:rPr>
        <w:t>ПК</w:t>
      </w:r>
      <w:r w:rsidR="005C12C9">
        <w:rPr>
          <w:color w:val="000000"/>
          <w:sz w:val="28"/>
          <w:szCs w:val="28"/>
          <w:lang w:eastAsia="ru-RU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виходячи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прийнятого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рішення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перегляд.</w:t>
      </w:r>
      <w:r w:rsidR="005C12C9">
        <w:rPr>
          <w:color w:val="000000"/>
          <w:lang w:eastAsia="uk-UA"/>
        </w:rPr>
        <w:t xml:space="preserve"> 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color w:val="000000"/>
          <w:sz w:val="28"/>
          <w:szCs w:val="28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функціонування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щорічно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встановлюються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завдання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виходячи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політики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законодавчих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вимог,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суттєвих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аспектів,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оцінених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ризиків,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технологічних,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фінансових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економічних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можливостей,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також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врахуванням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інтересів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зацікавлених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сторін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(суспільства,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персоналу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т.п.).</w:t>
      </w:r>
    </w:p>
    <w:p w:rsidR="00E94965" w:rsidRPr="00C02AB8" w:rsidRDefault="00E94965" w:rsidP="00651DB8">
      <w:pPr>
        <w:widowControl w:val="0"/>
        <w:spacing w:after="0" w:line="254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Екологічні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цілі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завдання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цілі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гігієни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праці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узгоджуються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із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екологічною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політикою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політикою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гігієни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праці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аналізуються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один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раз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півріччя.</w:t>
      </w:r>
    </w:p>
    <w:p w:rsidR="00E94965" w:rsidRPr="00C02AB8" w:rsidRDefault="00E94965" w:rsidP="005836CD">
      <w:pPr>
        <w:widowControl w:val="0"/>
        <w:spacing w:after="0" w:line="254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Розробку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екологічних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цілей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завдань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здійснює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бюро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охорони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навколишнього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середовища,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цілей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безпеки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гігієни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праці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відділу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охорони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праці.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Представлені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проекти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обговорюються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нараді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затверджуються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головою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правління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генеральним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директором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АТ«ПКМЗ».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досягнення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цілей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завдань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цілей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розробляється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річна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розробляє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начальник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відділу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навколишнього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середовища.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розробляє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начальник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відділу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узгоджуються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головним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інженером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представником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керівництва.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Затверджує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голова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lastRenderedPageBreak/>
        <w:t>правління</w:t>
      </w:r>
      <w:r w:rsidR="005C12C9">
        <w:rPr>
          <w:color w:val="000000"/>
          <w:sz w:val="28"/>
          <w:szCs w:val="28"/>
          <w:lang w:eastAsia="uk-UA"/>
        </w:rPr>
        <w:t xml:space="preserve"> – </w:t>
      </w:r>
      <w:r w:rsidRPr="00C02AB8">
        <w:rPr>
          <w:color w:val="000000"/>
          <w:sz w:val="28"/>
          <w:szCs w:val="28"/>
          <w:lang w:eastAsia="uk-UA"/>
        </w:rPr>
        <w:t>генеральний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директор.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Перегляд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раз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рік.</w:t>
      </w:r>
    </w:p>
    <w:p w:rsidR="00E94965" w:rsidRPr="00C02AB8" w:rsidRDefault="00E94965" w:rsidP="00471C8B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Під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час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наступні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дії:</w:t>
      </w:r>
    </w:p>
    <w:p w:rsidR="00E94965" w:rsidRPr="00C02AB8" w:rsidRDefault="00E94965" w:rsidP="005836CD">
      <w:pPr>
        <w:pStyle w:val="11"/>
        <w:numPr>
          <w:ilvl w:val="0"/>
          <w:numId w:val="13"/>
        </w:numPr>
        <w:shd w:val="clear" w:color="auto" w:fill="auto"/>
        <w:spacing w:after="0"/>
        <w:ind w:left="1418" w:hanging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визначення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пріоритетів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конкретний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момент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часу;</w:t>
      </w:r>
    </w:p>
    <w:p w:rsidR="00E94965" w:rsidRPr="00C02AB8" w:rsidRDefault="00E94965" w:rsidP="005836CD">
      <w:pPr>
        <w:pStyle w:val="11"/>
        <w:numPr>
          <w:ilvl w:val="0"/>
          <w:numId w:val="13"/>
        </w:numPr>
        <w:shd w:val="clear" w:color="auto" w:fill="auto"/>
        <w:spacing w:after="0"/>
        <w:ind w:left="1418" w:hanging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залучення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усіх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зацікавлених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посадових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осіб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розробка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заходів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досягнення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цілей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завдань;</w:t>
      </w:r>
    </w:p>
    <w:p w:rsidR="00E94965" w:rsidRPr="00C02AB8" w:rsidRDefault="00E94965" w:rsidP="005836CD">
      <w:pPr>
        <w:pStyle w:val="11"/>
        <w:numPr>
          <w:ilvl w:val="0"/>
          <w:numId w:val="13"/>
        </w:numPr>
        <w:shd w:val="clear" w:color="auto" w:fill="auto"/>
        <w:spacing w:after="0"/>
        <w:ind w:left="1418" w:hanging="709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визначення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термінів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виконання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заходів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періодичності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аналізування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визначення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необхідних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ресурсів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(інформаційних,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людських,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матеріальних,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фінансових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тощо).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Пропозиції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надають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усі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програмах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передбачено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розгляд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наступних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питань: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розвиток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виробництва;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аспекти: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навколишнього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середовища;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покращення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стану;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благоустрій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територій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закріплених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ділянок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території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зниження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викидів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скидів;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економії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енергоресурсів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палива;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зниження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відходів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виробництва;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заходи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зниження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рівня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ризиків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здійснення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експертизи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промислової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технічних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приладів,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будівель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споруд,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об’єктів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підвищеної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небезпеки,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їх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модернізація;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експертиза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навчання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працівників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спецодягом,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спецвзуттям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засобами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індивідуального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захисту;</w:t>
      </w:r>
    </w:p>
    <w:p w:rsidR="00E94965" w:rsidRPr="00C02AB8" w:rsidRDefault="00E94965" w:rsidP="005836CD">
      <w:pPr>
        <w:pStyle w:val="11"/>
        <w:numPr>
          <w:ilvl w:val="0"/>
          <w:numId w:val="16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виконання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заходів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усунення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невідповідностей,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визначених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приписах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державних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органів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нагляду,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результатам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внутрішніх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зовнішніх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аудитів,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виробничого</w:t>
      </w:r>
      <w:r w:rsidR="005C12C9">
        <w:rPr>
          <w:color w:val="000000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структурних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підрозділах,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розслідування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нещасних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випадків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професійних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захворювань.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При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цьому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враховуються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заходи,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входять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інші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планові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документи.</w:t>
      </w:r>
      <w:r w:rsidR="005C12C9">
        <w:rPr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Порядок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складання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програми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описано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М-01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документацією».</w:t>
      </w:r>
    </w:p>
    <w:p w:rsidR="00E94965" w:rsidRPr="00C02AB8" w:rsidRDefault="00E94965" w:rsidP="005836CD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</w:rPr>
        <w:t>Підприємство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визначило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процеси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види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діяльності,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для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яких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можливе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виникнення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надзвичайних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аварійних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ситуацій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(наведено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у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документації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СЕКУБГП).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З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метою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реалізації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екологічної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політики,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політики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у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сфері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безпеки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гігієни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праці,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екологічних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цілей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завдань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цілей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у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сфері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безпеки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та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гігієни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праці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на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підприємстві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розроблені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задокументовані</w:t>
      </w:r>
      <w:r w:rsidR="005C12C9">
        <w:rPr>
          <w:color w:val="000000"/>
          <w:sz w:val="28"/>
          <w:szCs w:val="28"/>
        </w:rPr>
        <w:t xml:space="preserve"> </w:t>
      </w:r>
      <w:r w:rsidRPr="00C02AB8">
        <w:rPr>
          <w:color w:val="000000"/>
          <w:sz w:val="28"/>
          <w:szCs w:val="28"/>
        </w:rPr>
        <w:t>методики</w:t>
      </w:r>
      <w:r w:rsidR="005C12C9">
        <w:rPr>
          <w:color w:val="000000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ідентифікації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надзвичайними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аварійними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ситуаціями: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М-08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«Готовність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реагування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них»,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М-09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«Готовність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надзвичайних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реагування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них»,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М-12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«Інциденти,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нещасні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випадки,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невідповідності,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запобіжні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коригувальні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сфері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праці»,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М-13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«Невідповідність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галузі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керування.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Коригувальні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запобіжні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дії».</w:t>
      </w:r>
    </w:p>
    <w:p w:rsidR="00E94965" w:rsidRPr="00C02AB8" w:rsidRDefault="00E94965" w:rsidP="00CB5F47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lastRenderedPageBreak/>
        <w:t>Підприємство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перевіряє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переглядає,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необхідності,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свою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готовність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встановлює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схеми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реагування,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особливо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після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того,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мали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місце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нещасні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випадки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або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ситуації.</w:t>
      </w:r>
    </w:p>
    <w:p w:rsidR="00E94965" w:rsidRPr="00C02AB8" w:rsidRDefault="00E94965" w:rsidP="00CB5F47">
      <w:pPr>
        <w:pStyle w:val="11"/>
        <w:shd w:val="clear" w:color="auto" w:fill="auto"/>
        <w:spacing w:after="0"/>
        <w:ind w:firstLine="560"/>
        <w:rPr>
          <w:color w:val="000000"/>
          <w:sz w:val="28"/>
          <w:szCs w:val="28"/>
          <w:lang w:eastAsia="uk-UA"/>
        </w:rPr>
      </w:pPr>
      <w:r w:rsidRPr="00C02AB8">
        <w:rPr>
          <w:color w:val="000000"/>
          <w:sz w:val="28"/>
          <w:szCs w:val="28"/>
          <w:lang w:eastAsia="uk-UA"/>
        </w:rPr>
        <w:t>Згідно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Постанови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Кабінету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Міністрів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України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«Про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ідентифікацію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декларування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об’єктів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підвищеної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небезпеки»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11.07.2002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956,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НПАОП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0.00-4.33-99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«Положення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планів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локалізації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ліквідації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аварій»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підприємстві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його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структурних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підрозділах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розробляються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плани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локалізації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ліквідації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ситуацій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(ПЛАС),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передбачають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негайне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реагування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працівників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структурних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підрозділів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разі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або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аварійної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ситуації.</w:t>
      </w:r>
    </w:p>
    <w:p w:rsidR="00E94965" w:rsidRPr="00C02AB8" w:rsidRDefault="00E94965" w:rsidP="00073ADE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Підприємство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визначило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ключові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характеристики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процесів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дій,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важливе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значення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точки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зору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ризиків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аспектів,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запланувало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їх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моніторингу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вимірювання.</w:t>
      </w:r>
    </w:p>
    <w:p w:rsidR="00E94965" w:rsidRPr="00C02AB8" w:rsidRDefault="00E94965" w:rsidP="00073ADE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Планування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моніторингу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описано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М-10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«Методика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моніторингу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вимірювання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основних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характеристик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(ГДВ,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витрати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електроенергії)».</w:t>
      </w:r>
    </w:p>
    <w:p w:rsidR="00E94965" w:rsidRPr="00C02AB8" w:rsidRDefault="00E94965" w:rsidP="00073ADE">
      <w:pPr>
        <w:pStyle w:val="11"/>
        <w:shd w:val="clear" w:color="auto" w:fill="auto"/>
        <w:spacing w:after="0"/>
        <w:ind w:firstLine="56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Моніторинг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вимірювання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здійснюється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щодо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параметрів,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мають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відношення: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функціонування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виробничих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яким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властиві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небезпечні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шкідливі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виробничі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фактори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ризики;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виробничого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середовища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робочих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місцях,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засобів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здоров’я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забезпечення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стану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здоров’я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працівників;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викидів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скидів;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споживання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води,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електроенергії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палива;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контролю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функціонування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систем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екологічного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керування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управління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безпекою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гігієною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кількості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характеру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нещасних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випадків,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захворювань,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інцидентів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охорони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праці;</w:t>
      </w:r>
    </w:p>
    <w:p w:rsidR="00E94965" w:rsidRPr="00C02AB8" w:rsidRDefault="00E94965" w:rsidP="005836CD">
      <w:pPr>
        <w:pStyle w:val="11"/>
        <w:numPr>
          <w:ilvl w:val="0"/>
          <w:numId w:val="17"/>
        </w:numPr>
        <w:shd w:val="clear" w:color="auto" w:fill="auto"/>
        <w:spacing w:after="0"/>
        <w:rPr>
          <w:sz w:val="28"/>
          <w:szCs w:val="28"/>
        </w:rPr>
      </w:pPr>
      <w:r w:rsidRPr="00C02AB8">
        <w:rPr>
          <w:color w:val="000000"/>
          <w:sz w:val="28"/>
          <w:szCs w:val="28"/>
          <w:lang w:eastAsia="uk-UA"/>
        </w:rPr>
        <w:t>до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виконання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коригувальних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та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запобіжних</w:t>
      </w:r>
      <w:r w:rsidR="005C12C9">
        <w:rPr>
          <w:color w:val="000000"/>
          <w:sz w:val="28"/>
          <w:szCs w:val="28"/>
          <w:lang w:eastAsia="uk-UA"/>
        </w:rPr>
        <w:t xml:space="preserve"> </w:t>
      </w:r>
      <w:r w:rsidRPr="00C02AB8">
        <w:rPr>
          <w:color w:val="000000"/>
          <w:sz w:val="28"/>
          <w:szCs w:val="28"/>
          <w:lang w:eastAsia="uk-UA"/>
        </w:rPr>
        <w:t>дій.</w:t>
      </w:r>
    </w:p>
    <w:p w:rsidR="00E94965" w:rsidRPr="00C02AB8" w:rsidRDefault="00E94965" w:rsidP="004D33AA">
      <w:pPr>
        <w:widowControl w:val="0"/>
        <w:spacing w:after="0" w:line="252" w:lineRule="auto"/>
        <w:ind w:right="280" w:firstLine="5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бюро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охорони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навколишнього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середовища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начальник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відділу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охорони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праці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аналізують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зареєстровані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дані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надають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інформацію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представнику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керівництва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для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аналізування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боку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керівництва.</w:t>
      </w:r>
    </w:p>
    <w:p w:rsidR="00E94965" w:rsidRPr="00C02AB8" w:rsidRDefault="00E94965" w:rsidP="003F18F9">
      <w:pPr>
        <w:widowControl w:val="0"/>
        <w:spacing w:after="0" w:line="252" w:lineRule="auto"/>
        <w:ind w:right="280" w:firstLine="5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Для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вимірювань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E57232">
        <w:rPr>
          <w:rFonts w:ascii="Times New Roman" w:hAnsi="Times New Roman"/>
          <w:sz w:val="28"/>
          <w:szCs w:val="28"/>
          <w:lang w:eastAsia="uk-UA"/>
        </w:rPr>
        <w:t>АТ</w:t>
      </w:r>
      <w:r w:rsidR="005C12C9" w:rsidRPr="00E5723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57232" w:rsidRPr="00E57232">
        <w:rPr>
          <w:rFonts w:ascii="Times New Roman" w:hAnsi="Times New Roman"/>
          <w:sz w:val="28"/>
          <w:szCs w:val="28"/>
          <w:lang w:eastAsia="uk-UA"/>
        </w:rPr>
        <w:t>«ПКМЗ</w:t>
      </w:r>
      <w:r w:rsidRPr="00E57232">
        <w:rPr>
          <w:rFonts w:ascii="Times New Roman" w:hAnsi="Times New Roman"/>
          <w:sz w:val="28"/>
          <w:szCs w:val="28"/>
          <w:lang w:eastAsia="uk-UA"/>
        </w:rPr>
        <w:t>»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використовуються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засоби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вимірювальної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техніки.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ЗВТ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підлягають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ідентифікації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та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повірці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згідно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графіка.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Відповідальні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за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керування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ЗВТ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метролог,</w:t>
      </w:r>
      <w:r w:rsidR="005C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8"/>
          <w:lang w:eastAsia="uk-UA"/>
        </w:rPr>
        <w:t>лабораторія.</w:t>
      </w:r>
    </w:p>
    <w:p w:rsidR="00E94965" w:rsidRPr="00C02AB8" w:rsidRDefault="00E94965" w:rsidP="003F18F9">
      <w:pPr>
        <w:widowControl w:val="0"/>
        <w:spacing w:after="0" w:line="252" w:lineRule="auto"/>
        <w:ind w:right="28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94965" w:rsidRPr="00C02AB8" w:rsidRDefault="00E94965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Розділ.5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Соціальні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аспекти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та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кадрова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політика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підприємства.</w:t>
      </w:r>
    </w:p>
    <w:p w:rsidR="005C12C9" w:rsidRPr="005C12C9" w:rsidRDefault="005C12C9" w:rsidP="005C12C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2AB8" w:rsidRDefault="00E94965" w:rsidP="00C02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2C9">
        <w:rPr>
          <w:rFonts w:ascii="Times New Roman" w:hAnsi="Times New Roman"/>
          <w:sz w:val="28"/>
          <w:szCs w:val="28"/>
          <w:lang w:eastAsia="ru-RU"/>
        </w:rPr>
        <w:t>Середньооблікова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чисельність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штатних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працівників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за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C84">
        <w:rPr>
          <w:rFonts w:ascii="Times New Roman" w:hAnsi="Times New Roman"/>
          <w:sz w:val="28"/>
          <w:szCs w:val="28"/>
          <w:lang w:eastAsia="ru-RU"/>
        </w:rPr>
        <w:t>2019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р.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E1C84">
        <w:rPr>
          <w:rFonts w:ascii="Times New Roman" w:hAnsi="Times New Roman"/>
          <w:sz w:val="28"/>
          <w:szCs w:val="28"/>
          <w:lang w:eastAsia="ru-RU"/>
        </w:rPr>
        <w:t>326</w:t>
      </w:r>
      <w:r w:rsidR="005C1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357A09" w:rsidRPr="00357A09" w:rsidRDefault="00357A09" w:rsidP="00357A09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357A09">
        <w:rPr>
          <w:color w:val="000000"/>
          <w:sz w:val="28"/>
          <w:szCs w:val="28"/>
        </w:rPr>
        <w:t>Підприємство згідно статей Закону України «Про Державний бюдже</w:t>
      </w:r>
      <w:r w:rsidR="00AE1C84">
        <w:rPr>
          <w:color w:val="000000"/>
          <w:sz w:val="28"/>
          <w:szCs w:val="28"/>
        </w:rPr>
        <w:t>т України» встановлювало в зазначе</w:t>
      </w:r>
      <w:r w:rsidRPr="00357A09">
        <w:rPr>
          <w:color w:val="000000"/>
          <w:sz w:val="28"/>
          <w:szCs w:val="28"/>
        </w:rPr>
        <w:t xml:space="preserve">ні терміни мінімальну заробітну плату , своєчасно проводить індексацію заробітної плати. З метою оптимізації виробництва, економією енергоресурсів проводиться зменшення чисельності </w:t>
      </w:r>
      <w:r w:rsidRPr="00357A09">
        <w:rPr>
          <w:color w:val="000000"/>
          <w:sz w:val="28"/>
          <w:szCs w:val="28"/>
        </w:rPr>
        <w:lastRenderedPageBreak/>
        <w:t>штату, та впроваджується неповне використання робочого часу для деяких категорій працівників.</w:t>
      </w:r>
    </w:p>
    <w:p w:rsidR="00357A09" w:rsidRPr="00357A09" w:rsidRDefault="00357A09" w:rsidP="00357A09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357A09">
        <w:rPr>
          <w:color w:val="000000"/>
          <w:sz w:val="28"/>
          <w:szCs w:val="28"/>
        </w:rPr>
        <w:t>На підприємстві діє погодинно-преміальна система оплати праці.</w:t>
      </w:r>
    </w:p>
    <w:p w:rsidR="00A12913" w:rsidRDefault="00357A09" w:rsidP="00A12913">
      <w:pPr>
        <w:shd w:val="clear" w:color="auto" w:fill="FFFFFF"/>
        <w:spacing w:after="0" w:line="210" w:lineRule="atLeast"/>
        <w:rPr>
          <w:rFonts w:ascii="Times New Roman" w:hAnsi="Times New Roman"/>
          <w:color w:val="000000"/>
          <w:sz w:val="28"/>
          <w:szCs w:val="28"/>
        </w:rPr>
      </w:pPr>
      <w:r w:rsidRPr="00357A09">
        <w:rPr>
          <w:rFonts w:ascii="Times New Roman" w:hAnsi="Times New Roman"/>
          <w:color w:val="000000"/>
          <w:sz w:val="28"/>
          <w:szCs w:val="28"/>
        </w:rPr>
        <w:t>Заборгованості з виплат заробітної плати не має.</w:t>
      </w:r>
    </w:p>
    <w:p w:rsidR="00F7053D" w:rsidRDefault="00AE1C84" w:rsidP="00A12913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129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підприємстві провадитьс</w:t>
      </w:r>
      <w:r w:rsidR="00F705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 політика омолоджування </w:t>
      </w:r>
      <w:r w:rsidR="00A129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колективу.</w:t>
      </w:r>
      <w:r w:rsidR="00F705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Прийнято у 2019 році 10 осіб .</w:t>
      </w:r>
      <w:r w:rsidR="00A12913" w:rsidRPr="00A129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129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даний час на підприємстві працює  у СКБ </w:t>
      </w:r>
      <w:r w:rsidR="00F705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</w:t>
      </w:r>
    </w:p>
    <w:p w:rsidR="00A12913" w:rsidRDefault="00F7053D" w:rsidP="00A12913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2-ва молодих  спеціаліста </w:t>
      </w:r>
      <w:r w:rsidR="00A1291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</w:p>
    <w:p w:rsidR="00A12913" w:rsidRPr="00A12913" w:rsidRDefault="00A12913" w:rsidP="00A12913">
      <w:pPr>
        <w:shd w:val="clear" w:color="auto" w:fill="FFFFFF"/>
        <w:spacing w:after="0" w:line="210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технічно виробничому відділі 3 молодих людини . ,у відділі перевірки та контролю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кач</w:t>
      </w:r>
      <w:r w:rsidR="00F7053D">
        <w:rPr>
          <w:rFonts w:ascii="Times New Roman" w:eastAsia="Times New Roman" w:hAnsi="Times New Roman"/>
          <w:sz w:val="28"/>
          <w:szCs w:val="28"/>
          <w:lang w:eastAsia="uk-UA"/>
        </w:rPr>
        <w:t>ества виробництва  2 людини ; для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навчання роботі на виробничому обладнанні а саме ЧПУ прийнято на постійній основі- 2-х працівників і </w:t>
      </w:r>
      <w:r w:rsidR="00F7053D">
        <w:rPr>
          <w:rFonts w:ascii="Times New Roman" w:eastAsia="Times New Roman" w:hAnsi="Times New Roman"/>
          <w:sz w:val="28"/>
          <w:szCs w:val="28"/>
          <w:lang w:eastAsia="uk-UA"/>
        </w:rPr>
        <w:t xml:space="preserve">було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залуч</w:t>
      </w:r>
      <w:r w:rsidR="00F7053D">
        <w:rPr>
          <w:rFonts w:ascii="Times New Roman" w:eastAsia="Times New Roman" w:hAnsi="Times New Roman"/>
          <w:sz w:val="28"/>
          <w:szCs w:val="28"/>
          <w:lang w:eastAsia="uk-UA"/>
        </w:rPr>
        <w:t>ено у 2019 році для проходження практики з 17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-х учнів професійного коледжу.</w:t>
      </w:r>
    </w:p>
    <w:p w:rsidR="00E94965" w:rsidRPr="005C12C9" w:rsidRDefault="00AE1C84" w:rsidP="00AE1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</w:t>
      </w:r>
      <w:r w:rsidR="00357A09">
        <w:rPr>
          <w:rFonts w:ascii="Times New Roman" w:hAnsi="Times New Roman"/>
          <w:sz w:val="28"/>
          <w:szCs w:val="28"/>
          <w:lang w:eastAsia="uk-UA"/>
        </w:rPr>
        <w:t xml:space="preserve">У АТ «ПКМЗ» діє </w:t>
      </w:r>
      <w:r w:rsidR="00E94965" w:rsidRPr="005C12C9">
        <w:rPr>
          <w:rFonts w:ascii="Times New Roman" w:hAnsi="Times New Roman"/>
          <w:sz w:val="28"/>
          <w:szCs w:val="28"/>
          <w:lang w:eastAsia="uk-UA"/>
        </w:rPr>
        <w:t>погоджений</w:t>
      </w:r>
      <w:r w:rsidR="005C1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4965" w:rsidRPr="005C12C9">
        <w:rPr>
          <w:rFonts w:ascii="Times New Roman" w:hAnsi="Times New Roman"/>
          <w:sz w:val="28"/>
          <w:szCs w:val="28"/>
          <w:lang w:eastAsia="uk-UA"/>
        </w:rPr>
        <w:t>колективний</w:t>
      </w:r>
      <w:r w:rsidR="005C1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4965" w:rsidRPr="005C12C9">
        <w:rPr>
          <w:rFonts w:ascii="Times New Roman" w:hAnsi="Times New Roman"/>
          <w:sz w:val="28"/>
          <w:szCs w:val="28"/>
          <w:lang w:eastAsia="uk-UA"/>
        </w:rPr>
        <w:t>договір</w:t>
      </w:r>
    </w:p>
    <w:p w:rsidR="00C02AB8" w:rsidRPr="005C12C9" w:rsidRDefault="00C02AB8" w:rsidP="00C02AB8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Умови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соціальної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політики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зафіксовані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колективному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договорі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які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адміністрація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профком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укладають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щорік.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додаток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соціальних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гарантій,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надаються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обов'язковому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порядку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вимог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законодавства,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АТ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«ПКМЗ»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добровільно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забезпечує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своїх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працівників,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також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членів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їх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сімей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різними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видами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соціальної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підтримки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виплатами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соціального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характеру</w:t>
      </w:r>
    </w:p>
    <w:p w:rsidR="005C12C9" w:rsidRDefault="00C02AB8" w:rsidP="005C12C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Соціальний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захист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працівника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одним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основних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чинників,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впливають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імідж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підприємства.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АТ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«ПКМЗ»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заробітна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плата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виплачується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чинного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73F2F">
        <w:rPr>
          <w:rFonts w:ascii="Times New Roman" w:eastAsia="Times New Roman" w:hAnsi="Times New Roman"/>
          <w:sz w:val="28"/>
          <w:szCs w:val="28"/>
          <w:lang w:eastAsia="uk-UA"/>
        </w:rPr>
        <w:t>законодавства,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здійснюється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преміювання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результатами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свят,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медичне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страхування,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надання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частково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оплачуваних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путівок.</w:t>
      </w:r>
    </w:p>
    <w:p w:rsidR="005C12C9" w:rsidRDefault="00C02AB8" w:rsidP="005C12C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Підприємство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активно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інвестує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такі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напрями,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як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«Охорона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праці»,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«Соціально-трудові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гарантії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пільги»,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«Ветерани»,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«Культура»,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актуальні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всіх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C12C9">
        <w:rPr>
          <w:rFonts w:ascii="Times New Roman" w:eastAsia="Times New Roman" w:hAnsi="Times New Roman"/>
          <w:sz w:val="28"/>
          <w:szCs w:val="28"/>
          <w:lang w:eastAsia="uk-UA"/>
        </w:rPr>
        <w:t>співробітників</w:t>
      </w:r>
      <w:r w:rsidR="005C12C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7A09">
        <w:rPr>
          <w:rFonts w:ascii="Times New Roman" w:eastAsia="Times New Roman" w:hAnsi="Times New Roman"/>
          <w:sz w:val="28"/>
          <w:szCs w:val="28"/>
          <w:lang w:eastAsia="uk-UA"/>
        </w:rPr>
        <w:t>підприємства.</w:t>
      </w:r>
    </w:p>
    <w:p w:rsidR="005C12C9" w:rsidRPr="005C12C9" w:rsidRDefault="00C02AB8" w:rsidP="005C12C9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5C12C9">
        <w:rPr>
          <w:rFonts w:ascii="Times New Roman" w:hAnsi="Times New Roman"/>
          <w:sz w:val="28"/>
          <w:szCs w:val="28"/>
          <w:lang w:eastAsia="uk-UA" w:bidi="uk-UA"/>
        </w:rPr>
        <w:t>Працівникам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надаються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гарантії,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компенсації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і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пільги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у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всіх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випадках,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передбачених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законодавством</w:t>
      </w:r>
      <w:r w:rsidR="005C12C9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r w:rsidRPr="005C12C9">
        <w:rPr>
          <w:rFonts w:ascii="Times New Roman" w:hAnsi="Times New Roman"/>
          <w:sz w:val="28"/>
          <w:szCs w:val="28"/>
          <w:lang w:eastAsia="uk-UA" w:bidi="uk-UA"/>
        </w:rPr>
        <w:t>України.</w:t>
      </w:r>
    </w:p>
    <w:p w:rsidR="00357A09" w:rsidRDefault="00BA6CC9" w:rsidP="00357A0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6CC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Кадрова політика </w:t>
      </w:r>
      <w:r w:rsidR="00E8335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яка провадиться на підприємстві </w:t>
      </w:r>
      <w:r w:rsidRPr="00BA6CC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 за головну мету забезпечення сьогодні та у майбутньому кожної посади і робочого місця персоналом належної кваліфікації.</w:t>
      </w:r>
    </w:p>
    <w:p w:rsidR="00357A09" w:rsidRDefault="00F06ECD" w:rsidP="00357A0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Персонал підприємства являє собою с</w:t>
      </w:r>
      <w:r w:rsidR="00F705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укупність постійних працівників , я</w:t>
      </w: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кі отримали необхідну професійну підготовку та  мають досвід практичної діяльності і забезпечують господарську діяльність суб’єкта господарювання.</w:t>
      </w:r>
    </w:p>
    <w:p w:rsidR="00F06ECD" w:rsidRPr="00F06ECD" w:rsidRDefault="00AE1C84" w:rsidP="00357A0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F06ECD"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діяльності підприємства, крім постійних працівників часто беруть участь інші працездатні особи, які працюють на підприємстві тимчасово на підставі трудового договору (контракту).</w:t>
      </w:r>
    </w:p>
    <w:p w:rsidR="00F06ECD" w:rsidRPr="00F06ECD" w:rsidRDefault="00F06ECD" w:rsidP="00F06ECD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</w:t>
      </w: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Залежно від функцій, які виконують працівники на підприємстві, вони поділяються на дві групи; персонал основної діяльності та персонал неосновної діяльності. Так, у промисловості до першої групи (промислово-виробничого персоналу) відносяться працівників основних, допоміж</w:t>
      </w:r>
      <w:r w:rsidR="00F705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них та обслуговуючих виробництв </w:t>
      </w: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науково-дослідних структурних підрозділів і лабораторій, заводоуправлінь, складів, охорони – тобто всіх зайнятих у виробництві або безпосередньому його обслуговуванні.</w:t>
      </w:r>
    </w:p>
    <w:p w:rsidR="00F06ECD" w:rsidRDefault="00F06ECD" w:rsidP="00F06ECD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другої групи персоналу відносять працівників структур, які належать підприємству, але не пов’язані безпосередньо з процесами промислового </w:t>
      </w:r>
      <w:r w:rsidRPr="00F06E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виробництва, тобто житлово-комунального господарства,  культурно-побутових установ тощо.</w:t>
      </w:r>
    </w:p>
    <w:p w:rsidR="00E94965" w:rsidRPr="003118DB" w:rsidRDefault="00357A09" w:rsidP="00A12913">
      <w:pPr>
        <w:shd w:val="clear" w:color="auto" w:fill="FFFFFF"/>
        <w:spacing w:after="0" w:line="2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</w:t>
      </w:r>
      <w:r w:rsidR="00AE1C84">
        <w:rPr>
          <w:rFonts w:ascii="Verdana" w:hAnsi="Verdana"/>
          <w:sz w:val="20"/>
          <w:szCs w:val="20"/>
        </w:rPr>
        <w:t xml:space="preserve"> </w:t>
      </w:r>
      <w:r w:rsidR="00E83351" w:rsidRPr="003118DB">
        <w:rPr>
          <w:rFonts w:ascii="Times New Roman" w:hAnsi="Times New Roman"/>
          <w:sz w:val="28"/>
          <w:szCs w:val="28"/>
        </w:rPr>
        <w:t>Механізм реалізації кадрової політики підприємства являє собою систему планів, норм і нормативів, організаційних, адміністративних, соціальних, економічних і інших заходів, спрямованих на рішення кадрових проблем і задоволення потреб підприємства в персоналі.</w:t>
      </w:r>
    </w:p>
    <w:p w:rsidR="00A12913" w:rsidRDefault="00A12913" w:rsidP="00357A09">
      <w:pPr>
        <w:spacing w:after="0" w:line="240" w:lineRule="auto"/>
        <w:jc w:val="center"/>
        <w:outlineLvl w:val="0"/>
        <w:rPr>
          <w:rFonts w:ascii="Times New Roman" w:hAnsi="Times New Roman"/>
          <w:color w:val="424242"/>
          <w:sz w:val="28"/>
          <w:szCs w:val="28"/>
        </w:rPr>
      </w:pPr>
    </w:p>
    <w:p w:rsidR="00357A09" w:rsidRPr="00A12913" w:rsidRDefault="00357A09" w:rsidP="008867CC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</w:rPr>
        <w:t xml:space="preserve">  </w:t>
      </w:r>
      <w:r w:rsidRPr="00A12913">
        <w:rPr>
          <w:rFonts w:ascii="Times New Roman" w:hAnsi="Times New Roman"/>
          <w:b/>
          <w:i/>
          <w:sz w:val="28"/>
          <w:szCs w:val="28"/>
          <w:lang w:eastAsia="ru-RU"/>
        </w:rPr>
        <w:t>Розділ.6. Переспективи розвитку.</w:t>
      </w:r>
    </w:p>
    <w:p w:rsidR="00357A09" w:rsidRPr="00A12913" w:rsidRDefault="00357A09" w:rsidP="002C1972">
      <w:pPr>
        <w:spacing w:after="0" w:line="240" w:lineRule="auto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E83351" w:rsidRDefault="00A12913" w:rsidP="002C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913">
        <w:rPr>
          <w:rFonts w:ascii="Times New Roman" w:hAnsi="Times New Roman"/>
          <w:sz w:val="28"/>
          <w:szCs w:val="28"/>
        </w:rPr>
        <w:t xml:space="preserve"> </w:t>
      </w:r>
      <w:r w:rsidR="00AE1C84">
        <w:rPr>
          <w:rFonts w:ascii="Times New Roman" w:hAnsi="Times New Roman"/>
          <w:sz w:val="28"/>
          <w:szCs w:val="28"/>
        </w:rPr>
        <w:t xml:space="preserve">     </w:t>
      </w:r>
      <w:r w:rsidR="00075ABD">
        <w:rPr>
          <w:rFonts w:ascii="Times New Roman" w:hAnsi="Times New Roman"/>
          <w:sz w:val="28"/>
          <w:szCs w:val="28"/>
        </w:rPr>
        <w:t xml:space="preserve"> Найважливи</w:t>
      </w:r>
      <w:r w:rsidRPr="00A12913">
        <w:rPr>
          <w:rFonts w:ascii="Times New Roman" w:hAnsi="Times New Roman"/>
          <w:sz w:val="28"/>
          <w:szCs w:val="28"/>
        </w:rPr>
        <w:t>йшим напрямком роботи підприємства залишається вип</w:t>
      </w:r>
      <w:r>
        <w:rPr>
          <w:rFonts w:ascii="Times New Roman" w:hAnsi="Times New Roman"/>
          <w:sz w:val="28"/>
          <w:szCs w:val="28"/>
        </w:rPr>
        <w:t>уск устаткування для шинних підприємств,</w:t>
      </w:r>
      <w:r w:rsidR="00075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зокрема для формування і вулканізації шин для</w:t>
      </w:r>
      <w:r w:rsidR="00075ABD">
        <w:rPr>
          <w:rFonts w:ascii="Times New Roman" w:hAnsi="Times New Roman"/>
          <w:sz w:val="28"/>
          <w:szCs w:val="28"/>
        </w:rPr>
        <w:t>, виробництво гумозмішувального обладнання , а також  тривале співробітництво з підприємствами</w:t>
      </w:r>
      <w:r w:rsidR="009D511D">
        <w:rPr>
          <w:rFonts w:ascii="Times New Roman" w:hAnsi="Times New Roman"/>
          <w:sz w:val="28"/>
          <w:szCs w:val="28"/>
        </w:rPr>
        <w:t xml:space="preserve"> металургійної та гірничо-доб</w:t>
      </w:r>
      <w:r w:rsidR="00075ABD">
        <w:rPr>
          <w:rFonts w:ascii="Times New Roman" w:hAnsi="Times New Roman"/>
          <w:sz w:val="28"/>
          <w:szCs w:val="28"/>
        </w:rPr>
        <w:t xml:space="preserve">увальної галузей . </w:t>
      </w:r>
    </w:p>
    <w:p w:rsidR="00075ABD" w:rsidRDefault="00AE1C84" w:rsidP="002C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5ABD">
        <w:rPr>
          <w:rFonts w:ascii="Times New Roman" w:hAnsi="Times New Roman"/>
          <w:sz w:val="28"/>
          <w:szCs w:val="28"/>
        </w:rPr>
        <w:t xml:space="preserve">СКБ підприємства була розроблена </w:t>
      </w:r>
      <w:r w:rsidR="009D511D">
        <w:rPr>
          <w:rFonts w:ascii="Times New Roman" w:hAnsi="Times New Roman"/>
          <w:sz w:val="28"/>
          <w:szCs w:val="28"/>
        </w:rPr>
        <w:t xml:space="preserve">у 2019 році </w:t>
      </w:r>
      <w:r w:rsidR="00075ABD">
        <w:rPr>
          <w:rFonts w:ascii="Times New Roman" w:hAnsi="Times New Roman"/>
          <w:sz w:val="28"/>
          <w:szCs w:val="28"/>
        </w:rPr>
        <w:t>технічна документація на такі роботи :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 для збирання роликів конвеєрних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редуктор виконуючого органу КСП-42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пневмоциліндр </w:t>
      </w:r>
      <w:r>
        <w:rPr>
          <w:rFonts w:cs="Calibri"/>
          <w:sz w:val="28"/>
          <w:szCs w:val="28"/>
        </w:rPr>
        <w:t>Ø</w:t>
      </w:r>
      <w:r>
        <w:rPr>
          <w:rFonts w:ascii="Times New Roman" w:hAnsi="Times New Roman"/>
          <w:sz w:val="28"/>
          <w:szCs w:val="28"/>
        </w:rPr>
        <w:t>320 мм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пневмоциліндр </w:t>
      </w:r>
      <w:r>
        <w:rPr>
          <w:rFonts w:cs="Calibri"/>
          <w:sz w:val="28"/>
          <w:szCs w:val="28"/>
        </w:rPr>
        <w:t>Ø</w:t>
      </w:r>
      <w:r>
        <w:rPr>
          <w:rFonts w:ascii="Times New Roman" w:hAnsi="Times New Roman"/>
          <w:sz w:val="28"/>
          <w:szCs w:val="28"/>
        </w:rPr>
        <w:t>130 мм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 задня КСП 43;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ролік желобчатий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ролік прямий;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ролікоопора гірляндна РВЛ-80,РВЛ-100; РВЛ-120;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вузол верхнього затвору з гідроприводом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гідроциліндр підйому;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домкрат гідравлічної подачі СП-18.12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гідроциліндр СПР68.12.02.30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ножичний підйомник ;</w:t>
      </w:r>
    </w:p>
    <w:p w:rsidR="009D511D" w:rsidRDefault="009D511D" w:rsidP="009D51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редуктор тип БСМ-2-56.</w:t>
      </w:r>
    </w:p>
    <w:p w:rsidR="005B30C2" w:rsidRDefault="00AE1C84" w:rsidP="00AE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30C2">
        <w:rPr>
          <w:rFonts w:ascii="Times New Roman" w:hAnsi="Times New Roman"/>
          <w:sz w:val="28"/>
          <w:szCs w:val="28"/>
        </w:rPr>
        <w:t>Продовжуються роботи з проектування обладнання для переробки зношених  шин , гумових та інших полімерних відходів. Зокрема розроблюється  конструкторська документація на магнітний сепаратор та гильотинний пристрій для розрізання зношених шин.</w:t>
      </w:r>
    </w:p>
    <w:p w:rsidR="005B30C2" w:rsidRPr="00197832" w:rsidRDefault="00AE1C84" w:rsidP="00AE1C84">
      <w:pPr>
        <w:spacing w:after="0" w:line="240" w:lineRule="auto"/>
        <w:jc w:val="both"/>
        <w:rPr>
          <w:rFonts w:ascii="Times New Roman" w:hAnsi="Times New Roman"/>
          <w:color w:val="424242"/>
          <w:sz w:val="28"/>
          <w:szCs w:val="28"/>
          <w:lang w:val="ru-RU"/>
        </w:rPr>
      </w:pPr>
      <w:r>
        <w:rPr>
          <w:rFonts w:ascii="Times New Roman" w:hAnsi="Times New Roman"/>
          <w:color w:val="424242"/>
          <w:sz w:val="28"/>
          <w:szCs w:val="28"/>
        </w:rPr>
        <w:t xml:space="preserve">       </w:t>
      </w:r>
      <w:r w:rsidR="00DD51A8">
        <w:rPr>
          <w:rFonts w:ascii="Times New Roman" w:hAnsi="Times New Roman"/>
          <w:color w:val="424242"/>
          <w:sz w:val="28"/>
          <w:szCs w:val="28"/>
        </w:rPr>
        <w:t>У 2018</w:t>
      </w:r>
      <w:r w:rsidR="007977D3">
        <w:rPr>
          <w:rFonts w:ascii="Times New Roman" w:hAnsi="Times New Roman"/>
          <w:color w:val="424242"/>
          <w:sz w:val="28"/>
          <w:szCs w:val="28"/>
        </w:rPr>
        <w:t xml:space="preserve"> році для потреб СКБ була придбана програма «Компас»</w:t>
      </w:r>
      <w:r w:rsidR="00DD51A8">
        <w:rPr>
          <w:rFonts w:ascii="Times New Roman" w:hAnsi="Times New Roman"/>
          <w:color w:val="424242"/>
          <w:sz w:val="28"/>
          <w:szCs w:val="28"/>
        </w:rPr>
        <w:t>. На протязі 2019 року спеціалісти СКБ продовжували її використовувати і вивчати.</w:t>
      </w:r>
    </w:p>
    <w:p w:rsidR="00F84FDF" w:rsidRPr="00F84FDF" w:rsidRDefault="00F84FDF" w:rsidP="00F84FDF">
      <w:pPr>
        <w:spacing w:after="0" w:line="334" w:lineRule="atLeast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F84FDF">
        <w:rPr>
          <w:rFonts w:ascii="Arial" w:eastAsia="Times New Roman" w:hAnsi="Arial" w:cs="Arial"/>
          <w:bCs/>
          <w:color w:val="222222"/>
          <w:sz w:val="21"/>
          <w:szCs w:val="21"/>
          <w:lang w:eastAsia="uk-UA"/>
        </w:rPr>
        <w:t xml:space="preserve"> </w:t>
      </w:r>
      <w:r w:rsidRPr="00F84FDF">
        <w:rPr>
          <w:rFonts w:ascii="Times New Roman" w:eastAsia="Times New Roman" w:hAnsi="Times New Roman"/>
          <w:bCs/>
          <w:color w:val="222222"/>
          <w:sz w:val="28"/>
          <w:szCs w:val="28"/>
          <w:lang w:eastAsia="uk-UA"/>
        </w:rPr>
        <w:t>Програма</w:t>
      </w:r>
      <w:r w:rsidRPr="00F84FD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 «КО́МПАС»</w:t>
      </w:r>
      <w:r w:rsidRPr="00F84FD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(КОМПлекс Автоматизованих Систем конструкторсько-технологічного проектування) </w:t>
      </w:r>
    </w:p>
    <w:p w:rsidR="00F84FDF" w:rsidRPr="00F84FDF" w:rsidRDefault="00F84FDF" w:rsidP="00F84FDF">
      <w:pPr>
        <w:spacing w:after="0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        </w:t>
      </w: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Система </w:t>
      </w:r>
      <w:r w:rsidRPr="00F84FD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КОМПАС-3D</w:t>
      </w: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 — інтерактивний </w:t>
      </w:r>
      <w:hyperlink r:id="rId22" w:tooltip="Графічний редактор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графічний редактор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 з сучасним </w:t>
      </w:r>
      <w:hyperlink r:id="rId23" w:tooltip="Інтерфейс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інтерфейсом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, оснащений інструментальними засобами, які дозволяють створювати твердотілі об'єкти з використанням набору елементарних параметричних тіл (</w:t>
      </w:r>
      <w:hyperlink r:id="rId24" w:tooltip="Паралелепіпед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паралелепіпед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25" w:tooltip="Циліндр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циліндр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 та ін. </w:t>
      </w:r>
      <w:r w:rsidRPr="000565AA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F84FDF" w:rsidRPr="00F84FDF" w:rsidRDefault="00F84FDF" w:rsidP="00F84FDF">
      <w:pPr>
        <w:spacing w:before="104" w:after="104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Просторові твердотілі та каркасні моделі об'єктів (</w:t>
      </w:r>
      <w:hyperlink r:id="rId26" w:tooltip="Деталь машини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деталей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27" w:tooltip="Вузол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вузлів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28" w:tooltip="Виріб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виробів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29" w:tooltip="Будівля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будівель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 і т. п.) при виконанні проектно-конструкторських, технологічних та </w:t>
      </w: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дизайнерських робіт в </w:t>
      </w:r>
      <w:hyperlink r:id="rId30" w:tooltip="Машинобудування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машинобудуванні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31" w:tooltip="Приладобудування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приладобудуванні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32" w:tooltip="Будівництво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будівництві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hyperlink r:id="rId33" w:tooltip="Архітектура" w:history="1">
        <w:r w:rsidRPr="000565AA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архітектурі</w:t>
        </w:r>
      </w:hyperlink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</w:p>
    <w:p w:rsidR="00F84FDF" w:rsidRPr="00F84FDF" w:rsidRDefault="00F84FDF" w:rsidP="00F84FDF">
      <w:pPr>
        <w:spacing w:before="104" w:after="104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Бібліотека анімації є стандартним застосунком для КОМПАС-3D. Вона працює з версіями КОМПАС-3D V8 і вище. Додаткових модулів (окрім самого КОМПАС-3D) для роботи додатку не потрібно. Бібліотека призначена для імітації руху (анімації) виробів, розроблених у системі тривимірного твердотільного моделювання КОМПАС-3D. Бібліотека дозволяє: </w:t>
      </w:r>
    </w:p>
    <w:p w:rsidR="00F84FDF" w:rsidRPr="00F84FDF" w:rsidRDefault="00F84FDF" w:rsidP="00F84FDF">
      <w:pPr>
        <w:numPr>
          <w:ilvl w:val="0"/>
          <w:numId w:val="31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Імітувати рухи складових частин виробу в процесі реальної роботи (можуть використовуватися сполучення деталей, що накладаються користувачем у процесі проектування 3D-збірки). Для цих цілей</w:t>
      </w:r>
    </w:p>
    <w:p w:rsidR="00F84FDF" w:rsidRPr="00F84FDF" w:rsidRDefault="00F84FDF" w:rsidP="00F84FDF">
      <w:pPr>
        <w:numPr>
          <w:ilvl w:val="0"/>
          <w:numId w:val="31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Бібліотека дозволяє задавати як переміщення компонентів, так і їх обертальний рух.</w:t>
      </w:r>
    </w:p>
    <w:p w:rsidR="00F84FDF" w:rsidRPr="00F84FDF" w:rsidRDefault="00F84FDF" w:rsidP="00F84FDF">
      <w:pPr>
        <w:numPr>
          <w:ilvl w:val="0"/>
          <w:numId w:val="31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Автоматично перевіряти можливі колізії (зіткнення деталей) у процесі руху для виявлення помилок у проектуванні.</w:t>
      </w:r>
    </w:p>
    <w:p w:rsidR="00F84FDF" w:rsidRPr="00F84FDF" w:rsidRDefault="00F84FDF" w:rsidP="00F84FDF">
      <w:pPr>
        <w:numPr>
          <w:ilvl w:val="0"/>
          <w:numId w:val="31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Наочно імітувати процес «розбирання-збірки» виробу для застосування в інтерактивному електронному технічному</w:t>
      </w:r>
    </w:p>
    <w:p w:rsidR="00F84FDF" w:rsidRPr="00F84FDF" w:rsidRDefault="00F84FDF" w:rsidP="00F84FDF">
      <w:pPr>
        <w:spacing w:before="104" w:after="104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керівництві. </w:t>
      </w:r>
    </w:p>
    <w:p w:rsidR="00F84FDF" w:rsidRPr="00F84FDF" w:rsidRDefault="00F84FDF" w:rsidP="00F84FDF">
      <w:pPr>
        <w:numPr>
          <w:ilvl w:val="0"/>
          <w:numId w:val="32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Створювати діаграму послідовних положень механізму — «кінограму» (набір послідовних кадрів у форматі *.frw — фрагмент КОМПАС-Графік).</w:t>
      </w:r>
    </w:p>
    <w:p w:rsidR="00F84FDF" w:rsidRPr="00F84FDF" w:rsidRDefault="00F84FDF" w:rsidP="00F84FDF">
      <w:pPr>
        <w:numPr>
          <w:ilvl w:val="0"/>
          <w:numId w:val="32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Записувати відеоролик руху у форматі *.avi. Відтворення можливе як на поточному кроці анімації, так і в цілому.</w:t>
      </w:r>
    </w:p>
    <w:p w:rsidR="00F84FDF" w:rsidRPr="00F84FDF" w:rsidRDefault="00F84FDF" w:rsidP="00F84FDF">
      <w:pPr>
        <w:spacing w:before="104" w:after="104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Анімація складається з послідовних кроків (рис.20.1). На кожному кроці можна задавати різні види руху деталей і параметри руху (швидкість, частота обертання, час). Сценарій процесу анімації зберігається в текстовому файлі стандартного XML-формату. Бібліотека анімації не тільки значно підвищує якість проектування виробів в цілому, його наочність і зручність, але також підсилює конкурентоспроможність підприємства на етапах виконання конкурсних проектів. </w:t>
      </w:r>
    </w:p>
    <w:p w:rsidR="00F84FDF" w:rsidRPr="00F84FDF" w:rsidRDefault="00F84FDF" w:rsidP="00F84FDF">
      <w:pPr>
        <w:spacing w:after="0" w:line="401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2A19">
        <w:rPr>
          <w:rFonts w:ascii="Times New Roman" w:eastAsia="Times New Roman" w:hAnsi="Times New Roman"/>
          <w:bCs/>
          <w:sz w:val="28"/>
          <w:szCs w:val="28"/>
          <w:lang w:eastAsia="uk-UA"/>
        </w:rPr>
        <w:t>Бібліотека фотореалістики</w:t>
      </w:r>
      <w:r w:rsidRPr="009E2A19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hyperlink r:id="rId34" w:tooltip="Редагувати розділ: Бібліотека фотореалістики" w:history="1">
        <w:r w:rsidRPr="009E2A19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ред.</w:t>
        </w:r>
      </w:hyperlink>
      <w:r w:rsidRPr="009E2A19">
        <w:rPr>
          <w:rFonts w:ascii="Times New Roman" w:eastAsia="Times New Roman" w:hAnsi="Times New Roman"/>
          <w:sz w:val="28"/>
          <w:szCs w:val="28"/>
          <w:lang w:eastAsia="uk-UA"/>
        </w:rPr>
        <w:t xml:space="preserve"> | </w:t>
      </w:r>
      <w:hyperlink r:id="rId35" w:tooltip="Редагувати розділ: Бібліотека фотореалістики" w:history="1">
        <w:r w:rsidRPr="009E2A19">
          <w:rPr>
            <w:rFonts w:ascii="Times New Roman" w:eastAsia="Times New Roman" w:hAnsi="Times New Roman"/>
            <w:sz w:val="28"/>
            <w:szCs w:val="28"/>
            <w:u w:val="single"/>
            <w:lang w:eastAsia="uk-UA"/>
          </w:rPr>
          <w:t>ред. код</w:t>
        </w:r>
      </w:hyperlink>
      <w:r w:rsidRPr="009E2A19">
        <w:rPr>
          <w:rFonts w:ascii="Times New Roman" w:eastAsia="Times New Roman" w:hAnsi="Times New Roman"/>
          <w:sz w:val="28"/>
          <w:szCs w:val="28"/>
          <w:lang w:eastAsia="uk-UA"/>
        </w:rPr>
        <w:t>]</w:t>
      </w:r>
    </w:p>
    <w:p w:rsidR="00F84FDF" w:rsidRPr="00F84FDF" w:rsidRDefault="00F84FDF" w:rsidP="00F84FDF">
      <w:pPr>
        <w:spacing w:before="104" w:after="104" w:line="334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 xml:space="preserve">Бібліотека призначена для створення фотореалістичного зображення тривимірної моделі деталі або збірки, спроектованої в КОМПАС-3D. Бібліотека фотореалістики дає можливості для створення 244 ефектних зображень виробу і використання їх у презентаціях і рекламній документації. Для зручності роботи в бібліотеці реалізований режим інтерактивного рендерінга, що дозволяє здійснювати попереднє відображення моделі з текстурами, призначеними в сцені. Матеріали: </w:t>
      </w:r>
    </w:p>
    <w:p w:rsidR="00F84FDF" w:rsidRPr="00F84FDF" w:rsidRDefault="00F84FDF" w:rsidP="00F84FDF">
      <w:pPr>
        <w:numPr>
          <w:ilvl w:val="0"/>
          <w:numId w:val="33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Вибір матеріалів з широкого списку вбудованої бібліотеки (різні види металів, дерева, каменя, пластика та багато інших).</w:t>
      </w:r>
    </w:p>
    <w:p w:rsidR="00F84FDF" w:rsidRPr="00F84FDF" w:rsidRDefault="00F84FDF" w:rsidP="00F84FDF">
      <w:pPr>
        <w:numPr>
          <w:ilvl w:val="0"/>
          <w:numId w:val="33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Настройка властивостей матеріалу, таких як колір поверхні, що відображає здатність, дзеркальність, прозорість, шорсткість і текстура.</w:t>
      </w:r>
    </w:p>
    <w:p w:rsidR="00F84FDF" w:rsidRPr="00F84FDF" w:rsidRDefault="00F84FDF" w:rsidP="00F84FDF">
      <w:pPr>
        <w:numPr>
          <w:ilvl w:val="0"/>
          <w:numId w:val="33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Можливе призначення матеріалів збіркам, деталям, операціям і поверхням.</w:t>
      </w:r>
    </w:p>
    <w:p w:rsidR="00F84FDF" w:rsidRDefault="00F84FDF" w:rsidP="00F84FDF">
      <w:pPr>
        <w:numPr>
          <w:ilvl w:val="0"/>
          <w:numId w:val="33"/>
        </w:num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4FDF">
        <w:rPr>
          <w:rFonts w:ascii="Times New Roman" w:eastAsia="Times New Roman" w:hAnsi="Times New Roman"/>
          <w:sz w:val="28"/>
          <w:szCs w:val="28"/>
          <w:lang w:eastAsia="uk-UA"/>
        </w:rPr>
        <w:t>Реалізований попередній перегляд матеріалів, сцени і джерел світла для зменшення часу отримання фотореалістичного зображення.</w:t>
      </w:r>
    </w:p>
    <w:p w:rsidR="009E2A19" w:rsidRPr="00F84FDF" w:rsidRDefault="00E11A72" w:rsidP="009E2A19">
      <w:pPr>
        <w:spacing w:before="100" w:beforeAutospacing="1" w:after="21" w:line="240" w:lineRule="auto"/>
        <w:ind w:left="334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Впродовж 2019</w:t>
      </w:r>
      <w:r w:rsidR="009E2A19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продовжувались роботи із забезпе</w:t>
      </w:r>
      <w:r w:rsidR="00682487">
        <w:rPr>
          <w:rFonts w:ascii="Times New Roman" w:eastAsia="Times New Roman" w:hAnsi="Times New Roman"/>
          <w:sz w:val="28"/>
          <w:szCs w:val="28"/>
          <w:lang w:eastAsia="uk-UA"/>
        </w:rPr>
        <w:t>чення потреб промисловості Ук</w:t>
      </w:r>
      <w:r w:rsidR="002A3A71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682487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2A3A71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E2A19">
        <w:rPr>
          <w:rFonts w:ascii="Times New Roman" w:eastAsia="Times New Roman" w:hAnsi="Times New Roman"/>
          <w:sz w:val="28"/>
          <w:szCs w:val="28"/>
          <w:lang w:eastAsia="uk-UA"/>
        </w:rPr>
        <w:t>ни сучасним обладнанням</w:t>
      </w:r>
      <w:r w:rsidR="002A3A71">
        <w:rPr>
          <w:rFonts w:ascii="Times New Roman" w:eastAsia="Times New Roman" w:hAnsi="Times New Roman"/>
          <w:sz w:val="28"/>
          <w:szCs w:val="28"/>
          <w:lang w:eastAsia="uk-UA"/>
        </w:rPr>
        <w:t xml:space="preserve"> різного призначення ,також випуск </w:t>
      </w:r>
      <w:r w:rsidR="00AD42F2">
        <w:rPr>
          <w:rFonts w:ascii="Times New Roman" w:eastAsia="Times New Roman" w:hAnsi="Times New Roman"/>
          <w:sz w:val="28"/>
          <w:szCs w:val="28"/>
          <w:lang w:eastAsia="uk-UA"/>
        </w:rPr>
        <w:t xml:space="preserve">та ремонт  </w:t>
      </w:r>
      <w:r w:rsidR="002A3A71">
        <w:rPr>
          <w:rFonts w:ascii="Times New Roman" w:eastAsia="Times New Roman" w:hAnsi="Times New Roman"/>
          <w:sz w:val="28"/>
          <w:szCs w:val="28"/>
          <w:lang w:eastAsia="uk-UA"/>
        </w:rPr>
        <w:t>експортної продукції .</w:t>
      </w:r>
    </w:p>
    <w:p w:rsidR="00AD42F2" w:rsidRDefault="00AD42F2" w:rsidP="002A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A3A71" w:rsidRPr="00C02AB8" w:rsidRDefault="002A3A71" w:rsidP="002A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Розділ.7</w:t>
      </w:r>
      <w:r w:rsidRPr="00C02AB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Проблемні питання.</w:t>
      </w:r>
    </w:p>
    <w:p w:rsidR="00DB4AF0" w:rsidRPr="00AF39AE" w:rsidRDefault="00DB4AF0" w:rsidP="00DB4AF0">
      <w:pPr>
        <w:rPr>
          <w:color w:val="000000"/>
          <w:sz w:val="24"/>
          <w:szCs w:val="28"/>
        </w:rPr>
      </w:pPr>
    </w:p>
    <w:p w:rsidR="00DB4AF0" w:rsidRPr="002A3A71" w:rsidRDefault="00DB4AF0" w:rsidP="002A3A71">
      <w:pPr>
        <w:ind w:left="66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3A71">
        <w:rPr>
          <w:rFonts w:ascii="Times New Roman" w:hAnsi="Times New Roman"/>
          <w:color w:val="000000"/>
          <w:sz w:val="28"/>
          <w:szCs w:val="28"/>
        </w:rPr>
        <w:t>В зв’язку  зі збільшенням суми податку на землю, погашення кредиту оформленого у 2015 році ,</w:t>
      </w:r>
      <w:r w:rsidR="002A3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A71">
        <w:rPr>
          <w:rFonts w:ascii="Times New Roman" w:hAnsi="Times New Roman"/>
          <w:color w:val="000000"/>
          <w:sz w:val="28"/>
          <w:szCs w:val="28"/>
        </w:rPr>
        <w:t xml:space="preserve">штрафи , пені та неустойки за минулі періоди </w:t>
      </w:r>
      <w:r w:rsidR="002A3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2F2">
        <w:rPr>
          <w:rFonts w:ascii="Times New Roman" w:hAnsi="Times New Roman"/>
          <w:color w:val="000000"/>
          <w:sz w:val="28"/>
          <w:szCs w:val="28"/>
        </w:rPr>
        <w:t xml:space="preserve"> все перераховане негативно впливає</w:t>
      </w:r>
      <w:r w:rsidR="002A3A71">
        <w:rPr>
          <w:rFonts w:ascii="Times New Roman" w:hAnsi="Times New Roman"/>
          <w:color w:val="000000"/>
          <w:sz w:val="28"/>
          <w:szCs w:val="28"/>
        </w:rPr>
        <w:t xml:space="preserve"> на ф</w:t>
      </w:r>
      <w:r w:rsidR="004648E9">
        <w:rPr>
          <w:rFonts w:ascii="Times New Roman" w:hAnsi="Times New Roman"/>
          <w:color w:val="000000"/>
          <w:sz w:val="28"/>
          <w:szCs w:val="28"/>
        </w:rPr>
        <w:t>інансові показники пі</w:t>
      </w:r>
      <w:r w:rsidR="002A3A71">
        <w:rPr>
          <w:rFonts w:ascii="Times New Roman" w:hAnsi="Times New Roman"/>
          <w:color w:val="000000"/>
          <w:sz w:val="28"/>
          <w:szCs w:val="28"/>
        </w:rPr>
        <w:t>дприємства.</w:t>
      </w:r>
    </w:p>
    <w:p w:rsidR="00DB4AF0" w:rsidRPr="00AD42F2" w:rsidRDefault="00ED4882" w:rsidP="00ED48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B4AF0" w:rsidRPr="002A3A71">
        <w:rPr>
          <w:rFonts w:ascii="Times New Roman" w:hAnsi="Times New Roman"/>
          <w:color w:val="000000"/>
          <w:sz w:val="28"/>
          <w:szCs w:val="28"/>
        </w:rPr>
        <w:t xml:space="preserve">Сплата земельного податку є непід’ємним тягарем для АТ «Перший київський машинобудівний завод» у </w:t>
      </w:r>
      <w:r w:rsidR="00DB4AF0" w:rsidRPr="002A3A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4AF0" w:rsidRPr="002A3A71">
        <w:rPr>
          <w:rFonts w:ascii="Times New Roman" w:hAnsi="Times New Roman"/>
          <w:color w:val="000000"/>
          <w:sz w:val="28"/>
          <w:szCs w:val="28"/>
        </w:rPr>
        <w:t>витратах податок на</w:t>
      </w:r>
      <w:r w:rsidR="004648E9">
        <w:rPr>
          <w:rFonts w:ascii="Times New Roman" w:hAnsi="Times New Roman"/>
          <w:color w:val="000000"/>
          <w:sz w:val="28"/>
          <w:szCs w:val="28"/>
        </w:rPr>
        <w:t xml:space="preserve"> землю </w:t>
      </w:r>
      <w:r w:rsidR="00DB4AF0" w:rsidRPr="002A3A71">
        <w:rPr>
          <w:rFonts w:ascii="Times New Roman" w:hAnsi="Times New Roman"/>
          <w:color w:val="000000"/>
          <w:sz w:val="28"/>
          <w:szCs w:val="28"/>
        </w:rPr>
        <w:t xml:space="preserve">, складає за  12-ть місяців  </w:t>
      </w:r>
      <w:r w:rsidR="00AD42F2" w:rsidRPr="00AD42F2">
        <w:rPr>
          <w:rFonts w:ascii="Times New Roman" w:hAnsi="Times New Roman"/>
          <w:sz w:val="28"/>
          <w:szCs w:val="28"/>
        </w:rPr>
        <w:t>2019</w:t>
      </w:r>
      <w:r w:rsidR="00DB4AF0" w:rsidRPr="00AD42F2">
        <w:rPr>
          <w:rFonts w:ascii="Times New Roman" w:hAnsi="Times New Roman"/>
          <w:sz w:val="28"/>
          <w:szCs w:val="28"/>
        </w:rPr>
        <w:t xml:space="preserve"> р.</w:t>
      </w:r>
      <w:r w:rsidR="002A3A71" w:rsidRPr="00AD42F2">
        <w:rPr>
          <w:rFonts w:ascii="Times New Roman" w:hAnsi="Times New Roman"/>
          <w:sz w:val="28"/>
          <w:szCs w:val="28"/>
        </w:rPr>
        <w:t>-</w:t>
      </w:r>
      <w:r w:rsidR="00AD42F2" w:rsidRPr="00AD42F2">
        <w:rPr>
          <w:rFonts w:ascii="Times New Roman" w:hAnsi="Times New Roman"/>
          <w:sz w:val="28"/>
          <w:szCs w:val="28"/>
        </w:rPr>
        <w:t xml:space="preserve"> 46464,0 тис. грн., або 34</w:t>
      </w:r>
      <w:r w:rsidR="00DB4AF0" w:rsidRPr="00AD42F2">
        <w:rPr>
          <w:rFonts w:ascii="Times New Roman" w:hAnsi="Times New Roman"/>
          <w:sz w:val="28"/>
          <w:szCs w:val="28"/>
        </w:rPr>
        <w:t xml:space="preserve">,0 % від  </w:t>
      </w:r>
      <w:r w:rsidR="002A3A71" w:rsidRPr="00AD42F2">
        <w:rPr>
          <w:rFonts w:ascii="Times New Roman" w:hAnsi="Times New Roman"/>
          <w:sz w:val="28"/>
          <w:szCs w:val="28"/>
        </w:rPr>
        <w:t>загальних</w:t>
      </w:r>
      <w:r w:rsidR="00AD42F2">
        <w:rPr>
          <w:rFonts w:ascii="Times New Roman" w:hAnsi="Times New Roman"/>
          <w:sz w:val="28"/>
          <w:szCs w:val="28"/>
        </w:rPr>
        <w:t xml:space="preserve">  витрат за рік.</w:t>
      </w:r>
    </w:p>
    <w:p w:rsidR="004A1873" w:rsidRDefault="00DB4AF0" w:rsidP="004A1873">
      <w:pPr>
        <w:spacing w:after="0"/>
        <w:ind w:firstLine="480"/>
        <w:jc w:val="both"/>
        <w:rPr>
          <w:color w:val="000000"/>
          <w:sz w:val="24"/>
          <w:szCs w:val="24"/>
        </w:rPr>
      </w:pPr>
      <w:r w:rsidRPr="002A3A71">
        <w:rPr>
          <w:rFonts w:ascii="Times New Roman" w:hAnsi="Times New Roman"/>
          <w:color w:val="000000"/>
          <w:sz w:val="28"/>
          <w:szCs w:val="28"/>
        </w:rPr>
        <w:t>Для подальшої продуктивної роботи підприємства першочерговим питанням є в</w:t>
      </w:r>
      <w:r w:rsidR="00AD42F2">
        <w:rPr>
          <w:rFonts w:ascii="Times New Roman" w:hAnsi="Times New Roman"/>
          <w:color w:val="000000"/>
          <w:sz w:val="28"/>
          <w:szCs w:val="28"/>
        </w:rPr>
        <w:t xml:space="preserve">ирішення  питання про зменшення або </w:t>
      </w:r>
      <w:r w:rsidRPr="002A3A71">
        <w:rPr>
          <w:rFonts w:ascii="Times New Roman" w:hAnsi="Times New Roman"/>
          <w:color w:val="000000"/>
          <w:sz w:val="28"/>
          <w:szCs w:val="28"/>
        </w:rPr>
        <w:t xml:space="preserve"> реструктуризацію  податку на землю .</w:t>
      </w:r>
      <w:r w:rsidR="004A1873" w:rsidRPr="004A1873">
        <w:rPr>
          <w:color w:val="000000"/>
          <w:sz w:val="24"/>
          <w:szCs w:val="24"/>
        </w:rPr>
        <w:t xml:space="preserve"> </w:t>
      </w:r>
    </w:p>
    <w:p w:rsidR="004A1873" w:rsidRPr="004A1873" w:rsidRDefault="004A1873" w:rsidP="004A1873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4A1873">
        <w:rPr>
          <w:rFonts w:ascii="Times New Roman" w:hAnsi="Times New Roman"/>
          <w:color w:val="000000"/>
          <w:sz w:val="28"/>
          <w:szCs w:val="28"/>
        </w:rPr>
        <w:t>На даний час юридичні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873">
        <w:rPr>
          <w:rFonts w:ascii="Times New Roman" w:hAnsi="Times New Roman"/>
          <w:color w:val="000000"/>
          <w:sz w:val="28"/>
          <w:szCs w:val="28"/>
        </w:rPr>
        <w:t>та керівник підприємства займаються питанням підвищення коефіцієнтів функціонального використання та реструктуризації податку на землю  по земельній ділянці АТ «Перший київський машинобудівний завод» в місті Києві.</w:t>
      </w:r>
    </w:p>
    <w:p w:rsidR="00E83351" w:rsidRDefault="002A3A71" w:rsidP="002C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 xml:space="preserve">        </w:t>
      </w:r>
      <w:r w:rsidR="004648E9">
        <w:rPr>
          <w:rFonts w:ascii="Times New Roman" w:hAnsi="Times New Roman"/>
          <w:sz w:val="28"/>
          <w:szCs w:val="28"/>
        </w:rPr>
        <w:t>У 2019</w:t>
      </w:r>
      <w:r w:rsidRPr="002A3A71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8867CC">
        <w:rPr>
          <w:rFonts w:ascii="Times New Roman" w:hAnsi="Times New Roman"/>
          <w:sz w:val="28"/>
          <w:szCs w:val="28"/>
        </w:rPr>
        <w:t xml:space="preserve"> до ФДМ</w:t>
      </w:r>
      <w:r w:rsidR="00D74CC7">
        <w:rPr>
          <w:rFonts w:ascii="Times New Roman" w:hAnsi="Times New Roman"/>
          <w:sz w:val="28"/>
          <w:szCs w:val="28"/>
        </w:rPr>
        <w:t xml:space="preserve"> </w:t>
      </w:r>
      <w:r w:rsidR="008867CC">
        <w:rPr>
          <w:rFonts w:ascii="Times New Roman" w:hAnsi="Times New Roman"/>
          <w:sz w:val="28"/>
          <w:szCs w:val="28"/>
        </w:rPr>
        <w:t>України направлені розроблені</w:t>
      </w:r>
      <w:r>
        <w:rPr>
          <w:rFonts w:ascii="Times New Roman" w:hAnsi="Times New Roman"/>
          <w:sz w:val="28"/>
          <w:szCs w:val="28"/>
        </w:rPr>
        <w:t xml:space="preserve"> графіки </w:t>
      </w:r>
      <w:r w:rsidR="008867CC">
        <w:rPr>
          <w:rFonts w:ascii="Times New Roman" w:hAnsi="Times New Roman"/>
          <w:sz w:val="28"/>
          <w:szCs w:val="28"/>
        </w:rPr>
        <w:t xml:space="preserve">погашення заборгованості підприємства </w:t>
      </w:r>
      <w:r w:rsidR="004648E9">
        <w:rPr>
          <w:rFonts w:ascii="Times New Roman" w:hAnsi="Times New Roman"/>
          <w:sz w:val="28"/>
          <w:szCs w:val="28"/>
        </w:rPr>
        <w:t xml:space="preserve">а </w:t>
      </w:r>
      <w:r w:rsidR="008867CC">
        <w:rPr>
          <w:rFonts w:ascii="Times New Roman" w:hAnsi="Times New Roman"/>
          <w:sz w:val="28"/>
          <w:szCs w:val="28"/>
        </w:rPr>
        <w:t xml:space="preserve">також по ним </w:t>
      </w:r>
      <w:r w:rsidRPr="002A3A71">
        <w:rPr>
          <w:rFonts w:ascii="Times New Roman" w:hAnsi="Times New Roman"/>
          <w:sz w:val="28"/>
          <w:szCs w:val="28"/>
        </w:rPr>
        <w:t>розпочата виплата старих боргів</w:t>
      </w:r>
      <w:r>
        <w:rPr>
          <w:rFonts w:ascii="Times New Roman" w:hAnsi="Times New Roman"/>
          <w:sz w:val="28"/>
          <w:szCs w:val="28"/>
        </w:rPr>
        <w:t>.</w:t>
      </w:r>
    </w:p>
    <w:p w:rsidR="002A3A71" w:rsidRPr="002A3A71" w:rsidRDefault="002A3A71" w:rsidP="002C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2F2" w:rsidRDefault="00AD42F2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4965" w:rsidRPr="00C02AB8" w:rsidRDefault="002A3A71" w:rsidP="00C02AB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Розділ.8</w:t>
      </w:r>
      <w:r w:rsidR="00C02AB8" w:rsidRPr="00C02AB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E94965" w:rsidRPr="00C02AB8">
        <w:rPr>
          <w:rFonts w:ascii="Times New Roman" w:hAnsi="Times New Roman"/>
          <w:b/>
          <w:i/>
          <w:sz w:val="28"/>
          <w:szCs w:val="28"/>
          <w:lang w:eastAsia="ru-RU"/>
        </w:rPr>
        <w:t>Корпоративне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E94965" w:rsidRPr="00C02AB8">
        <w:rPr>
          <w:rFonts w:ascii="Times New Roman" w:hAnsi="Times New Roman"/>
          <w:b/>
          <w:i/>
          <w:sz w:val="28"/>
          <w:szCs w:val="28"/>
          <w:lang w:eastAsia="ru-RU"/>
        </w:rPr>
        <w:t>управління</w:t>
      </w:r>
      <w:r w:rsidR="005C12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E94965" w:rsidRPr="00C02AB8">
        <w:rPr>
          <w:rFonts w:ascii="Times New Roman" w:hAnsi="Times New Roman"/>
          <w:b/>
          <w:i/>
          <w:sz w:val="28"/>
          <w:szCs w:val="28"/>
          <w:lang w:eastAsia="ru-RU"/>
        </w:rPr>
        <w:t>підприємством.</w:t>
      </w:r>
    </w:p>
    <w:p w:rsidR="00E94965" w:rsidRPr="00C02AB8" w:rsidRDefault="00E94965" w:rsidP="002C1972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АТ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«ПКМЗ»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Pr="00C02AB8">
        <w:rPr>
          <w:rFonts w:ascii="Times New Roman" w:hAnsi="Times New Roman"/>
          <w:sz w:val="28"/>
          <w:szCs w:val="24"/>
          <w:lang w:eastAsia="ru-RU"/>
        </w:rPr>
        <w:t>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господарським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товариством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має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організаційно-правову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форму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акціонерного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статутному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фонді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якого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100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%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акцій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належить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державі.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Заявлений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статутний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капітал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АТ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„ПКМЗ”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складає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11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144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930</w:t>
      </w:r>
      <w:r w:rsidR="005C12C9">
        <w:rPr>
          <w:rFonts w:ascii="Times New Roman" w:hAnsi="Times New Roman"/>
          <w:b/>
          <w:i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b/>
          <w:i/>
          <w:sz w:val="28"/>
          <w:szCs w:val="24"/>
          <w:lang w:eastAsia="ru-RU"/>
        </w:rPr>
        <w:t>гривень</w:t>
      </w:r>
      <w:r w:rsidRPr="00C02AB8">
        <w:rPr>
          <w:rFonts w:ascii="Times New Roman" w:hAnsi="Times New Roman"/>
          <w:sz w:val="28"/>
          <w:szCs w:val="24"/>
          <w:lang w:eastAsia="ru-RU"/>
        </w:rPr>
        <w:t>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поділений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44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579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720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простих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іменних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акцій,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номінальною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вартістю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0,25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грн.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кожна.</w:t>
      </w:r>
    </w:p>
    <w:p w:rsidR="00E94965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Акції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існують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бездокументарній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формі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знаходяться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зберіганні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Національному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депозитарії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України.</w:t>
      </w:r>
    </w:p>
    <w:p w:rsidR="004825FD" w:rsidRPr="00C02AB8" w:rsidRDefault="004825FD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Керівні органи товариства :</w:t>
      </w:r>
    </w:p>
    <w:p w:rsidR="00E94965" w:rsidRPr="00C02AB8" w:rsidRDefault="004825FD" w:rsidP="004825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Вищий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орган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–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Загальні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збори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акціонерів.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94965" w:rsidRPr="00C02AB8" w:rsidRDefault="004825FD" w:rsidP="00986F6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Наглядова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рада.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94965" w:rsidRPr="00C02AB8" w:rsidRDefault="004825FD" w:rsidP="00986F6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Виконавчий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орган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(колегіальний)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– </w:t>
      </w:r>
      <w:r w:rsidR="008F1B38">
        <w:rPr>
          <w:rFonts w:ascii="Times New Roman" w:hAnsi="Times New Roman"/>
          <w:color w:val="000000"/>
          <w:sz w:val="28"/>
          <w:szCs w:val="24"/>
        </w:rPr>
        <w:t>правління (д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ирекція</w:t>
      </w:r>
      <w:r w:rsidR="008F1B38">
        <w:rPr>
          <w:rFonts w:ascii="Times New Roman" w:hAnsi="Times New Roman"/>
          <w:color w:val="000000"/>
          <w:sz w:val="28"/>
          <w:szCs w:val="24"/>
        </w:rPr>
        <w:t>)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.</w:t>
      </w:r>
    </w:p>
    <w:p w:rsidR="00D74CC7" w:rsidRDefault="004825FD" w:rsidP="00D74CC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bookmarkStart w:id="0" w:name="_GoBack"/>
      <w:bookmarkEnd w:id="0"/>
      <w:r w:rsidR="00E94965" w:rsidRPr="00C02AB8">
        <w:rPr>
          <w:rFonts w:ascii="Times New Roman" w:hAnsi="Times New Roman"/>
          <w:color w:val="000000"/>
          <w:sz w:val="28"/>
          <w:szCs w:val="24"/>
        </w:rPr>
        <w:t>Ревізійна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C02AB8">
        <w:rPr>
          <w:rFonts w:ascii="Times New Roman" w:hAnsi="Times New Roman"/>
          <w:color w:val="000000"/>
          <w:sz w:val="28"/>
          <w:szCs w:val="24"/>
        </w:rPr>
        <w:t>комісія.</w:t>
      </w:r>
    </w:p>
    <w:p w:rsidR="00E94965" w:rsidRPr="00D74CC7" w:rsidRDefault="00D74CC7" w:rsidP="00D74CC7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   Ф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ункції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Вищого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органу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з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управління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корпоративними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правами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держави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розмірі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100%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статутному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капіталі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виконує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Фонд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державного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майна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України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без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скликання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Загальних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зборів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акціонерів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шляхом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прийняття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відповідних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наказів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та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розпоряджень.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Вищий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орган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має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право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приймати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рішення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з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усіх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питань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діяльності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Товариства,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в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тому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числі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й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тих,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що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належать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до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компетенції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Наглядової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ради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та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94965" w:rsidRPr="00D74CC7">
        <w:rPr>
          <w:rFonts w:ascii="Times New Roman" w:hAnsi="Times New Roman"/>
          <w:color w:val="000000"/>
          <w:sz w:val="28"/>
          <w:szCs w:val="24"/>
        </w:rPr>
        <w:t>Правління.</w:t>
      </w:r>
      <w:r w:rsidR="005C12C9" w:rsidRPr="00D74CC7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C02AB8">
        <w:rPr>
          <w:rFonts w:ascii="Times New Roman" w:hAnsi="Times New Roman"/>
          <w:color w:val="000000"/>
          <w:sz w:val="28"/>
          <w:szCs w:val="24"/>
        </w:rPr>
        <w:t>Наглядова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рада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органом,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який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здійснює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захист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акціонерів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i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межах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компетенції,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визначених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Статутом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законодавством,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контролює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i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регулює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діяльність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Правління.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Наглядова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рада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складається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5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чол.,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які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обираються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Вищим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органом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(ФДМУ</w:t>
      </w:r>
      <w:r w:rsidR="00D74C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країни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)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із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числа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фізичних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осіб.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C02AB8">
        <w:rPr>
          <w:rFonts w:ascii="Times New Roman" w:hAnsi="Times New Roman"/>
          <w:color w:val="000000"/>
          <w:sz w:val="28"/>
          <w:szCs w:val="24"/>
        </w:rPr>
        <w:t>Правління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створюється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метою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здійснення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керівництва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поточною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діяльністю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складається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17FEC">
        <w:rPr>
          <w:rFonts w:ascii="Times New Roman" w:hAnsi="Times New Roman"/>
          <w:color w:val="000000"/>
          <w:sz w:val="28"/>
          <w:szCs w:val="24"/>
        </w:rPr>
        <w:t>8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осіб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i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діє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на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колегіальних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засадах.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Правління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діє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від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імені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у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межах,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встановлених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Статутом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i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Законами.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обов'язки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членів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Правління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визначаються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Законами,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Статутом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C02AB8">
        <w:rPr>
          <w:rFonts w:ascii="Times New Roman" w:hAnsi="Times New Roman"/>
          <w:color w:val="000000"/>
          <w:sz w:val="28"/>
          <w:szCs w:val="24"/>
        </w:rPr>
        <w:t>Голова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правління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– </w:t>
      </w:r>
      <w:r w:rsidRPr="00C02AB8">
        <w:rPr>
          <w:rFonts w:ascii="Times New Roman" w:hAnsi="Times New Roman"/>
          <w:color w:val="000000"/>
          <w:sz w:val="28"/>
          <w:szCs w:val="24"/>
        </w:rPr>
        <w:t>генеральний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директор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призначається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Фондом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державного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майна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України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у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порядку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передбаченому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Статутом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color w:val="000000"/>
          <w:sz w:val="28"/>
          <w:szCs w:val="24"/>
        </w:rPr>
        <w:t>Ревізійна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комісія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складається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з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3-х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чол.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які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обираються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Вищим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органом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Товариства.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Голова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члени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Ревізійної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комісії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обираються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Вищим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органом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Товариства</w:t>
      </w:r>
      <w:r w:rsidR="005C12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2AB8">
        <w:rPr>
          <w:rFonts w:ascii="Times New Roman" w:hAnsi="Times New Roman"/>
          <w:color w:val="000000"/>
          <w:sz w:val="28"/>
          <w:szCs w:val="24"/>
        </w:rPr>
        <w:t>.</w:t>
      </w:r>
    </w:p>
    <w:p w:rsidR="00E94965" w:rsidRPr="00C02AB8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2AB8">
        <w:rPr>
          <w:rFonts w:ascii="Times New Roman" w:hAnsi="Times New Roman"/>
          <w:sz w:val="28"/>
          <w:szCs w:val="24"/>
          <w:lang w:eastAsia="ru-RU"/>
        </w:rPr>
        <w:t>Акції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товариства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існують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в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бездокументарній</w:t>
      </w:r>
      <w:r w:rsidR="005C12C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2AB8">
        <w:rPr>
          <w:rFonts w:ascii="Times New Roman" w:hAnsi="Times New Roman"/>
          <w:sz w:val="28"/>
          <w:szCs w:val="24"/>
          <w:lang w:eastAsia="ru-RU"/>
        </w:rPr>
        <w:t>формі.</w:t>
      </w:r>
    </w:p>
    <w:p w:rsidR="00E94965" w:rsidRDefault="00E94965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6554" w:rsidRDefault="003E6554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6554" w:rsidRDefault="003E6554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6554" w:rsidRDefault="003E6554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6554" w:rsidRPr="00AD42F2" w:rsidRDefault="004825FD" w:rsidP="00986F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В.О.Голови правління</w:t>
      </w:r>
      <w:r w:rsidR="003E6554" w:rsidRPr="00AD42F2">
        <w:rPr>
          <w:rFonts w:ascii="Times New Roman" w:hAnsi="Times New Roman"/>
          <w:sz w:val="28"/>
          <w:szCs w:val="28"/>
        </w:rPr>
        <w:t xml:space="preserve"> АТ «ПКМЗ»</w:t>
      </w:r>
      <w:r w:rsidR="003E6554" w:rsidRPr="00AD42F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AD42F2" w:rsidRPr="00AD42F2">
        <w:rPr>
          <w:rFonts w:ascii="Times New Roman" w:hAnsi="Times New Roman"/>
          <w:sz w:val="28"/>
          <w:szCs w:val="28"/>
          <w:lang w:eastAsia="ru-RU"/>
        </w:rPr>
        <w:t xml:space="preserve"> В.А.Заєц</w:t>
      </w:r>
    </w:p>
    <w:sectPr w:rsidR="003E6554" w:rsidRPr="00AD42F2" w:rsidSect="002E6866">
      <w:footerReference w:type="default" r:id="rId3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68" w:rsidRDefault="00D87F68" w:rsidP="001F6BF7">
      <w:pPr>
        <w:spacing w:after="0" w:line="240" w:lineRule="auto"/>
      </w:pPr>
      <w:r>
        <w:separator/>
      </w:r>
    </w:p>
  </w:endnote>
  <w:endnote w:type="continuationSeparator" w:id="0">
    <w:p w:rsidR="00D87F68" w:rsidRDefault="00D87F68" w:rsidP="001F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06" w:rsidRDefault="002D7B06">
    <w:pPr>
      <w:pStyle w:val="a5"/>
      <w:jc w:val="right"/>
    </w:pPr>
    <w:r w:rsidRPr="000B0CCF">
      <w:rPr>
        <w:rFonts w:ascii="Times New Roman" w:hAnsi="Times New Roman"/>
        <w:sz w:val="24"/>
        <w:szCs w:val="24"/>
      </w:rPr>
      <w:fldChar w:fldCharType="begin"/>
    </w:r>
    <w:r w:rsidRPr="000B0CCF">
      <w:rPr>
        <w:rFonts w:ascii="Times New Roman" w:hAnsi="Times New Roman"/>
        <w:sz w:val="24"/>
        <w:szCs w:val="24"/>
      </w:rPr>
      <w:instrText>PAGE   \* MERGEFORMAT</w:instrText>
    </w:r>
    <w:r w:rsidRPr="000B0CCF">
      <w:rPr>
        <w:rFonts w:ascii="Times New Roman" w:hAnsi="Times New Roman"/>
        <w:sz w:val="24"/>
        <w:szCs w:val="24"/>
      </w:rPr>
      <w:fldChar w:fldCharType="separate"/>
    </w:r>
    <w:r w:rsidR="004825FD">
      <w:rPr>
        <w:rFonts w:ascii="Times New Roman" w:hAnsi="Times New Roman"/>
        <w:noProof/>
        <w:sz w:val="24"/>
        <w:szCs w:val="24"/>
      </w:rPr>
      <w:t>23</w:t>
    </w:r>
    <w:r w:rsidRPr="000B0CC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68" w:rsidRDefault="00D87F68" w:rsidP="001F6BF7">
      <w:pPr>
        <w:spacing w:after="0" w:line="240" w:lineRule="auto"/>
      </w:pPr>
      <w:r>
        <w:separator/>
      </w:r>
    </w:p>
  </w:footnote>
  <w:footnote w:type="continuationSeparator" w:id="0">
    <w:p w:rsidR="00D87F68" w:rsidRDefault="00D87F68" w:rsidP="001F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E6D"/>
    <w:multiLevelType w:val="hybridMultilevel"/>
    <w:tmpl w:val="C5EC6B9A"/>
    <w:lvl w:ilvl="0" w:tplc="4D0C1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A59"/>
    <w:multiLevelType w:val="hybridMultilevel"/>
    <w:tmpl w:val="BF0CBC5E"/>
    <w:lvl w:ilvl="0" w:tplc="417EDF72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52D40DD"/>
    <w:multiLevelType w:val="hybridMultilevel"/>
    <w:tmpl w:val="38F684FA"/>
    <w:lvl w:ilvl="0" w:tplc="4D0C193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0F606F"/>
    <w:multiLevelType w:val="multilevel"/>
    <w:tmpl w:val="7E7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60AAC"/>
    <w:multiLevelType w:val="multilevel"/>
    <w:tmpl w:val="3F4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1072F"/>
    <w:multiLevelType w:val="hybridMultilevel"/>
    <w:tmpl w:val="895AA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749"/>
    <w:multiLevelType w:val="hybridMultilevel"/>
    <w:tmpl w:val="EDAE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CE6CD3"/>
    <w:multiLevelType w:val="multilevel"/>
    <w:tmpl w:val="3F6A1E9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663115"/>
    <w:multiLevelType w:val="hybridMultilevel"/>
    <w:tmpl w:val="51348F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6D1"/>
    <w:multiLevelType w:val="hybridMultilevel"/>
    <w:tmpl w:val="30441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71F95"/>
    <w:multiLevelType w:val="hybridMultilevel"/>
    <w:tmpl w:val="7B12D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96C"/>
    <w:multiLevelType w:val="hybridMultilevel"/>
    <w:tmpl w:val="40B275D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E8246C"/>
    <w:multiLevelType w:val="multilevel"/>
    <w:tmpl w:val="0A5A7D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7F1967"/>
    <w:multiLevelType w:val="hybridMultilevel"/>
    <w:tmpl w:val="7FD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B1FB0"/>
    <w:multiLevelType w:val="hybridMultilevel"/>
    <w:tmpl w:val="4DA40BF4"/>
    <w:lvl w:ilvl="0" w:tplc="00C4A56A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C5F14C4"/>
    <w:multiLevelType w:val="hybridMultilevel"/>
    <w:tmpl w:val="D39CC11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ED871CD"/>
    <w:multiLevelType w:val="multilevel"/>
    <w:tmpl w:val="281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3C6900"/>
    <w:multiLevelType w:val="hybridMultilevel"/>
    <w:tmpl w:val="06322B2C"/>
    <w:lvl w:ilvl="0" w:tplc="EAC2BD4E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1FE3270"/>
    <w:multiLevelType w:val="multilevel"/>
    <w:tmpl w:val="849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30A07"/>
    <w:multiLevelType w:val="hybridMultilevel"/>
    <w:tmpl w:val="D5243EE2"/>
    <w:lvl w:ilvl="0" w:tplc="4D0C19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9A43304"/>
    <w:multiLevelType w:val="hybridMultilevel"/>
    <w:tmpl w:val="9F54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6B3"/>
    <w:multiLevelType w:val="hybridMultilevel"/>
    <w:tmpl w:val="06ECD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B1488"/>
    <w:multiLevelType w:val="hybridMultilevel"/>
    <w:tmpl w:val="D818C38C"/>
    <w:lvl w:ilvl="0" w:tplc="4D0C1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65EE0"/>
    <w:multiLevelType w:val="multilevel"/>
    <w:tmpl w:val="FDA093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FBA24DF"/>
    <w:multiLevelType w:val="hybridMultilevel"/>
    <w:tmpl w:val="5B1C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1B98"/>
    <w:multiLevelType w:val="hybridMultilevel"/>
    <w:tmpl w:val="52EA404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1CC2B62"/>
    <w:multiLevelType w:val="hybridMultilevel"/>
    <w:tmpl w:val="06009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04657"/>
    <w:multiLevelType w:val="multilevel"/>
    <w:tmpl w:val="6D3610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4BF326B"/>
    <w:multiLevelType w:val="hybridMultilevel"/>
    <w:tmpl w:val="C90427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C7480"/>
    <w:multiLevelType w:val="hybridMultilevel"/>
    <w:tmpl w:val="2FC0209C"/>
    <w:lvl w:ilvl="0" w:tplc="02F4CC68">
      <w:start w:val="2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99C60DC"/>
    <w:multiLevelType w:val="hybridMultilevel"/>
    <w:tmpl w:val="EAE61F9A"/>
    <w:lvl w:ilvl="0" w:tplc="4D0C19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28E125E"/>
    <w:multiLevelType w:val="multilevel"/>
    <w:tmpl w:val="B16C325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E153317"/>
    <w:multiLevelType w:val="multilevel"/>
    <w:tmpl w:val="4B7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855B4B"/>
    <w:multiLevelType w:val="multilevel"/>
    <w:tmpl w:val="1228E208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7"/>
  </w:num>
  <w:num w:numId="5">
    <w:abstractNumId w:val="33"/>
  </w:num>
  <w:num w:numId="6">
    <w:abstractNumId w:val="31"/>
  </w:num>
  <w:num w:numId="7">
    <w:abstractNumId w:val="27"/>
  </w:num>
  <w:num w:numId="8">
    <w:abstractNumId w:val="12"/>
  </w:num>
  <w:num w:numId="9">
    <w:abstractNumId w:val="13"/>
  </w:num>
  <w:num w:numId="10">
    <w:abstractNumId w:val="5"/>
  </w:num>
  <w:num w:numId="11">
    <w:abstractNumId w:val="26"/>
  </w:num>
  <w:num w:numId="12">
    <w:abstractNumId w:val="21"/>
  </w:num>
  <w:num w:numId="13">
    <w:abstractNumId w:val="28"/>
  </w:num>
  <w:num w:numId="14">
    <w:abstractNumId w:val="9"/>
  </w:num>
  <w:num w:numId="15">
    <w:abstractNumId w:val="6"/>
  </w:num>
  <w:num w:numId="16">
    <w:abstractNumId w:val="20"/>
  </w:num>
  <w:num w:numId="17">
    <w:abstractNumId w:val="8"/>
  </w:num>
  <w:num w:numId="18">
    <w:abstractNumId w:val="22"/>
  </w:num>
  <w:num w:numId="19">
    <w:abstractNumId w:val="24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0"/>
  </w:num>
  <w:num w:numId="25">
    <w:abstractNumId w:val="16"/>
  </w:num>
  <w:num w:numId="26">
    <w:abstractNumId w:val="10"/>
  </w:num>
  <w:num w:numId="27">
    <w:abstractNumId w:val="14"/>
  </w:num>
  <w:num w:numId="28">
    <w:abstractNumId w:val="29"/>
  </w:num>
  <w:num w:numId="29">
    <w:abstractNumId w:val="11"/>
  </w:num>
  <w:num w:numId="30">
    <w:abstractNumId w:val="18"/>
  </w:num>
  <w:num w:numId="31">
    <w:abstractNumId w:val="32"/>
  </w:num>
  <w:num w:numId="32">
    <w:abstractNumId w:val="4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F7"/>
    <w:rsid w:val="000158D8"/>
    <w:rsid w:val="00015E67"/>
    <w:rsid w:val="00025CD8"/>
    <w:rsid w:val="000565AA"/>
    <w:rsid w:val="000575F7"/>
    <w:rsid w:val="00064B60"/>
    <w:rsid w:val="00065028"/>
    <w:rsid w:val="0006791A"/>
    <w:rsid w:val="00070935"/>
    <w:rsid w:val="00073ADE"/>
    <w:rsid w:val="00075ABD"/>
    <w:rsid w:val="0008030F"/>
    <w:rsid w:val="0008221B"/>
    <w:rsid w:val="00083AC0"/>
    <w:rsid w:val="00092FF3"/>
    <w:rsid w:val="0009620F"/>
    <w:rsid w:val="000A14A5"/>
    <w:rsid w:val="000B0CCF"/>
    <w:rsid w:val="000C217C"/>
    <w:rsid w:val="000D4AE1"/>
    <w:rsid w:val="000F3037"/>
    <w:rsid w:val="000F38F3"/>
    <w:rsid w:val="000F5033"/>
    <w:rsid w:val="001000AA"/>
    <w:rsid w:val="001021A5"/>
    <w:rsid w:val="00116311"/>
    <w:rsid w:val="00130CA5"/>
    <w:rsid w:val="001373C7"/>
    <w:rsid w:val="00144D8A"/>
    <w:rsid w:val="0015046E"/>
    <w:rsid w:val="00156B26"/>
    <w:rsid w:val="00160046"/>
    <w:rsid w:val="001739C0"/>
    <w:rsid w:val="0017515F"/>
    <w:rsid w:val="001800C1"/>
    <w:rsid w:val="00181D76"/>
    <w:rsid w:val="001837E3"/>
    <w:rsid w:val="00197832"/>
    <w:rsid w:val="001B490C"/>
    <w:rsid w:val="001D318E"/>
    <w:rsid w:val="001D4A43"/>
    <w:rsid w:val="001E696C"/>
    <w:rsid w:val="001F6BF7"/>
    <w:rsid w:val="002050C0"/>
    <w:rsid w:val="0021062E"/>
    <w:rsid w:val="002144AE"/>
    <w:rsid w:val="002411B3"/>
    <w:rsid w:val="0024566C"/>
    <w:rsid w:val="00253345"/>
    <w:rsid w:val="002536CF"/>
    <w:rsid w:val="0025718B"/>
    <w:rsid w:val="00263457"/>
    <w:rsid w:val="002658E3"/>
    <w:rsid w:val="00265EA0"/>
    <w:rsid w:val="0026777E"/>
    <w:rsid w:val="002705BF"/>
    <w:rsid w:val="00297488"/>
    <w:rsid w:val="002A3765"/>
    <w:rsid w:val="002A3A71"/>
    <w:rsid w:val="002B0778"/>
    <w:rsid w:val="002B0E38"/>
    <w:rsid w:val="002B3E32"/>
    <w:rsid w:val="002B6296"/>
    <w:rsid w:val="002C1972"/>
    <w:rsid w:val="002C4A3C"/>
    <w:rsid w:val="002D7B06"/>
    <w:rsid w:val="002E6866"/>
    <w:rsid w:val="00300A76"/>
    <w:rsid w:val="003102F3"/>
    <w:rsid w:val="003118DB"/>
    <w:rsid w:val="003118DC"/>
    <w:rsid w:val="003160DE"/>
    <w:rsid w:val="003554F2"/>
    <w:rsid w:val="00357941"/>
    <w:rsid w:val="00357A09"/>
    <w:rsid w:val="00381C85"/>
    <w:rsid w:val="00384219"/>
    <w:rsid w:val="00392C46"/>
    <w:rsid w:val="003932D3"/>
    <w:rsid w:val="00393B66"/>
    <w:rsid w:val="00397255"/>
    <w:rsid w:val="003A052E"/>
    <w:rsid w:val="003A2800"/>
    <w:rsid w:val="003A2D48"/>
    <w:rsid w:val="003B2016"/>
    <w:rsid w:val="003D422B"/>
    <w:rsid w:val="003E6554"/>
    <w:rsid w:val="003F18F9"/>
    <w:rsid w:val="00401ED4"/>
    <w:rsid w:val="00422F0B"/>
    <w:rsid w:val="0042307A"/>
    <w:rsid w:val="00427A8F"/>
    <w:rsid w:val="0043217F"/>
    <w:rsid w:val="0043360D"/>
    <w:rsid w:val="004426E4"/>
    <w:rsid w:val="004532F8"/>
    <w:rsid w:val="004621F0"/>
    <w:rsid w:val="004648E9"/>
    <w:rsid w:val="00471C8B"/>
    <w:rsid w:val="00474845"/>
    <w:rsid w:val="004825FD"/>
    <w:rsid w:val="00483770"/>
    <w:rsid w:val="00487667"/>
    <w:rsid w:val="004914F4"/>
    <w:rsid w:val="00492DB2"/>
    <w:rsid w:val="004A1873"/>
    <w:rsid w:val="004A2666"/>
    <w:rsid w:val="004A3AB0"/>
    <w:rsid w:val="004A790E"/>
    <w:rsid w:val="004C0590"/>
    <w:rsid w:val="004D33AA"/>
    <w:rsid w:val="004D769D"/>
    <w:rsid w:val="00502FFE"/>
    <w:rsid w:val="005123ED"/>
    <w:rsid w:val="005167F0"/>
    <w:rsid w:val="00527F4A"/>
    <w:rsid w:val="00572313"/>
    <w:rsid w:val="00572407"/>
    <w:rsid w:val="00573F2F"/>
    <w:rsid w:val="005747CD"/>
    <w:rsid w:val="005836CD"/>
    <w:rsid w:val="00585651"/>
    <w:rsid w:val="005872FB"/>
    <w:rsid w:val="005B30C2"/>
    <w:rsid w:val="005C12C9"/>
    <w:rsid w:val="005E4606"/>
    <w:rsid w:val="00604E0D"/>
    <w:rsid w:val="006114CA"/>
    <w:rsid w:val="006269A5"/>
    <w:rsid w:val="0064610D"/>
    <w:rsid w:val="00646802"/>
    <w:rsid w:val="00646FEA"/>
    <w:rsid w:val="00651DB8"/>
    <w:rsid w:val="00682487"/>
    <w:rsid w:val="00683F46"/>
    <w:rsid w:val="00690E92"/>
    <w:rsid w:val="006A1CF2"/>
    <w:rsid w:val="006A368E"/>
    <w:rsid w:val="006A3D7D"/>
    <w:rsid w:val="006E1307"/>
    <w:rsid w:val="006F1F64"/>
    <w:rsid w:val="00711467"/>
    <w:rsid w:val="00717FEC"/>
    <w:rsid w:val="00720B52"/>
    <w:rsid w:val="007306D7"/>
    <w:rsid w:val="007434AC"/>
    <w:rsid w:val="007977D3"/>
    <w:rsid w:val="007B2A2E"/>
    <w:rsid w:val="007D1304"/>
    <w:rsid w:val="007E13C8"/>
    <w:rsid w:val="007F30F9"/>
    <w:rsid w:val="00810D68"/>
    <w:rsid w:val="0081200D"/>
    <w:rsid w:val="00835159"/>
    <w:rsid w:val="00840907"/>
    <w:rsid w:val="0085114D"/>
    <w:rsid w:val="00851A3E"/>
    <w:rsid w:val="00863EFD"/>
    <w:rsid w:val="00870BC8"/>
    <w:rsid w:val="008867CC"/>
    <w:rsid w:val="00894BBD"/>
    <w:rsid w:val="008B0468"/>
    <w:rsid w:val="008B495D"/>
    <w:rsid w:val="008C2FBC"/>
    <w:rsid w:val="008C76A5"/>
    <w:rsid w:val="008F1B38"/>
    <w:rsid w:val="008F33FA"/>
    <w:rsid w:val="009009EB"/>
    <w:rsid w:val="00933F0D"/>
    <w:rsid w:val="00937920"/>
    <w:rsid w:val="00940FC9"/>
    <w:rsid w:val="00966322"/>
    <w:rsid w:val="00967AC8"/>
    <w:rsid w:val="00982BDA"/>
    <w:rsid w:val="00986F63"/>
    <w:rsid w:val="009A4167"/>
    <w:rsid w:val="009C5890"/>
    <w:rsid w:val="009C6DA5"/>
    <w:rsid w:val="009D511D"/>
    <w:rsid w:val="009E1B2A"/>
    <w:rsid w:val="009E2A19"/>
    <w:rsid w:val="009F2097"/>
    <w:rsid w:val="009F5B50"/>
    <w:rsid w:val="00A00AA4"/>
    <w:rsid w:val="00A029C3"/>
    <w:rsid w:val="00A06FB3"/>
    <w:rsid w:val="00A07752"/>
    <w:rsid w:val="00A10710"/>
    <w:rsid w:val="00A12913"/>
    <w:rsid w:val="00A31CB7"/>
    <w:rsid w:val="00A40088"/>
    <w:rsid w:val="00A461F4"/>
    <w:rsid w:val="00A546F2"/>
    <w:rsid w:val="00A61CAC"/>
    <w:rsid w:val="00A71CC3"/>
    <w:rsid w:val="00A75393"/>
    <w:rsid w:val="00A80845"/>
    <w:rsid w:val="00AA2D70"/>
    <w:rsid w:val="00AB09F4"/>
    <w:rsid w:val="00AD42F2"/>
    <w:rsid w:val="00AE1C84"/>
    <w:rsid w:val="00AE3EC1"/>
    <w:rsid w:val="00AF02EC"/>
    <w:rsid w:val="00AF1418"/>
    <w:rsid w:val="00B12654"/>
    <w:rsid w:val="00B25A5F"/>
    <w:rsid w:val="00B43C8A"/>
    <w:rsid w:val="00B44658"/>
    <w:rsid w:val="00B53838"/>
    <w:rsid w:val="00B72B4C"/>
    <w:rsid w:val="00B77642"/>
    <w:rsid w:val="00B95838"/>
    <w:rsid w:val="00BA4BD6"/>
    <w:rsid w:val="00BA6CC9"/>
    <w:rsid w:val="00BB3E50"/>
    <w:rsid w:val="00BD19BE"/>
    <w:rsid w:val="00BE568C"/>
    <w:rsid w:val="00BF2581"/>
    <w:rsid w:val="00C02AB8"/>
    <w:rsid w:val="00C138DE"/>
    <w:rsid w:val="00C35031"/>
    <w:rsid w:val="00C3558A"/>
    <w:rsid w:val="00C50DD8"/>
    <w:rsid w:val="00C513F0"/>
    <w:rsid w:val="00C5766A"/>
    <w:rsid w:val="00C80BA1"/>
    <w:rsid w:val="00C84BFF"/>
    <w:rsid w:val="00C90FC8"/>
    <w:rsid w:val="00C97CD7"/>
    <w:rsid w:val="00CA2B53"/>
    <w:rsid w:val="00CA7402"/>
    <w:rsid w:val="00CB04A4"/>
    <w:rsid w:val="00CB5F47"/>
    <w:rsid w:val="00CC4669"/>
    <w:rsid w:val="00CC60DA"/>
    <w:rsid w:val="00CF0408"/>
    <w:rsid w:val="00CF1281"/>
    <w:rsid w:val="00CF5638"/>
    <w:rsid w:val="00D31C09"/>
    <w:rsid w:val="00D32AC0"/>
    <w:rsid w:val="00D33E69"/>
    <w:rsid w:val="00D341BA"/>
    <w:rsid w:val="00D34301"/>
    <w:rsid w:val="00D34B8F"/>
    <w:rsid w:val="00D37E80"/>
    <w:rsid w:val="00D74293"/>
    <w:rsid w:val="00D74CC7"/>
    <w:rsid w:val="00D8027F"/>
    <w:rsid w:val="00D81B75"/>
    <w:rsid w:val="00D87F68"/>
    <w:rsid w:val="00D9680C"/>
    <w:rsid w:val="00DA177D"/>
    <w:rsid w:val="00DB3094"/>
    <w:rsid w:val="00DB4AF0"/>
    <w:rsid w:val="00DC754E"/>
    <w:rsid w:val="00DD51A8"/>
    <w:rsid w:val="00E11A72"/>
    <w:rsid w:val="00E12AB2"/>
    <w:rsid w:val="00E260AA"/>
    <w:rsid w:val="00E37558"/>
    <w:rsid w:val="00E57232"/>
    <w:rsid w:val="00E66475"/>
    <w:rsid w:val="00E83351"/>
    <w:rsid w:val="00E85DA4"/>
    <w:rsid w:val="00E94965"/>
    <w:rsid w:val="00E959CD"/>
    <w:rsid w:val="00EA0186"/>
    <w:rsid w:val="00EA2209"/>
    <w:rsid w:val="00EA3201"/>
    <w:rsid w:val="00EB0FBA"/>
    <w:rsid w:val="00ED4882"/>
    <w:rsid w:val="00ED571D"/>
    <w:rsid w:val="00EE3162"/>
    <w:rsid w:val="00F06ECD"/>
    <w:rsid w:val="00F11199"/>
    <w:rsid w:val="00F32BF2"/>
    <w:rsid w:val="00F618FA"/>
    <w:rsid w:val="00F663F3"/>
    <w:rsid w:val="00F7053D"/>
    <w:rsid w:val="00F84883"/>
    <w:rsid w:val="00F84FDF"/>
    <w:rsid w:val="00F93EBF"/>
    <w:rsid w:val="00F96E2D"/>
    <w:rsid w:val="00FA1100"/>
    <w:rsid w:val="00FA21C6"/>
    <w:rsid w:val="00FA6FDC"/>
    <w:rsid w:val="00FB565C"/>
    <w:rsid w:val="00FC43BF"/>
    <w:rsid w:val="00FC4E7D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0102F"/>
  <w15:docId w15:val="{6ECCC0A5-354B-4A6F-A229-1508BC3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6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84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locked/>
    <w:rsid w:val="00F84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6BF7"/>
    <w:rPr>
      <w:rFonts w:cs="Times New Roman"/>
    </w:rPr>
  </w:style>
  <w:style w:type="paragraph" w:styleId="a5">
    <w:name w:val="footer"/>
    <w:basedOn w:val="a"/>
    <w:link w:val="a6"/>
    <w:uiPriority w:val="99"/>
    <w:rsid w:val="001F6B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6BF7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9009E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ий текст_"/>
    <w:link w:val="11"/>
    <w:locked/>
    <w:rsid w:val="009009EB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009EB"/>
    <w:pPr>
      <w:widowControl w:val="0"/>
      <w:shd w:val="clear" w:color="auto" w:fill="FFFFFF"/>
      <w:spacing w:after="190" w:line="254" w:lineRule="auto"/>
      <w:ind w:firstLine="58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11">
    <w:name w:val="Основний текст1"/>
    <w:basedOn w:val="a"/>
    <w:link w:val="a7"/>
    <w:rsid w:val="009009EB"/>
    <w:pPr>
      <w:widowControl w:val="0"/>
      <w:shd w:val="clear" w:color="auto" w:fill="FFFFFF"/>
      <w:spacing w:after="260" w:line="254" w:lineRule="auto"/>
      <w:ind w:firstLine="400"/>
      <w:jc w:val="both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5836CD"/>
    <w:pPr>
      <w:ind w:left="720"/>
      <w:contextualSpacing/>
    </w:pPr>
  </w:style>
  <w:style w:type="paragraph" w:styleId="a9">
    <w:name w:val="Body Text"/>
    <w:basedOn w:val="a"/>
    <w:link w:val="aa"/>
    <w:rsid w:val="00357A0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rsid w:val="00357A09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F84FD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84FDF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F84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Hyperlink"/>
    <w:uiPriority w:val="99"/>
    <w:semiHidden/>
    <w:unhideWhenUsed/>
    <w:rsid w:val="00F84FDF"/>
    <w:rPr>
      <w:color w:val="0000FF"/>
      <w:u w:val="single"/>
    </w:rPr>
  </w:style>
  <w:style w:type="character" w:customStyle="1" w:styleId="tocnumber">
    <w:name w:val="tocnumber"/>
    <w:rsid w:val="00F84FDF"/>
  </w:style>
  <w:style w:type="character" w:customStyle="1" w:styleId="toctext">
    <w:name w:val="toctext"/>
    <w:rsid w:val="00F84FDF"/>
  </w:style>
  <w:style w:type="character" w:customStyle="1" w:styleId="mw-headline">
    <w:name w:val="mw-headline"/>
    <w:rsid w:val="00F84FDF"/>
  </w:style>
  <w:style w:type="character" w:customStyle="1" w:styleId="mw-editsection">
    <w:name w:val="mw-editsection"/>
    <w:rsid w:val="00F84FDF"/>
  </w:style>
  <w:style w:type="character" w:customStyle="1" w:styleId="mw-editsection-bracket">
    <w:name w:val="mw-editsection-bracket"/>
    <w:rsid w:val="00F84FDF"/>
  </w:style>
  <w:style w:type="character" w:customStyle="1" w:styleId="mw-editsection-divider">
    <w:name w:val="mw-editsection-divider"/>
    <w:rsid w:val="00F84FDF"/>
  </w:style>
  <w:style w:type="paragraph" w:styleId="ad">
    <w:name w:val="Balloon Text"/>
    <w:basedOn w:val="a"/>
    <w:link w:val="ae"/>
    <w:uiPriority w:val="99"/>
    <w:semiHidden/>
    <w:unhideWhenUsed/>
    <w:rsid w:val="0048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76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04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818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Microsoft_Excel_97-20032.xls"/><Relationship Id="rId18" Type="http://schemas.openxmlformats.org/officeDocument/2006/relationships/image" Target="media/image6.png"/><Relationship Id="rId26" Type="http://schemas.openxmlformats.org/officeDocument/2006/relationships/hyperlink" Target="https://uk.wikipedia.org/wiki/%D0%94%D0%B5%D1%82%D0%B0%D0%BB%D1%8C_%D0%BC%D0%B0%D1%88%D0%B8%D0%BD%D0%B8" TargetMode="External"/><Relationship Id="rId21" Type="http://schemas.openxmlformats.org/officeDocument/2006/relationships/oleObject" Target="embeddings/______Microsoft_Excel_97-20036.xls"/><Relationship Id="rId34" Type="http://schemas.openxmlformats.org/officeDocument/2006/relationships/hyperlink" Target="https://uk.wikipedia.org/w/index.php?title=%D0%9A%D0%9E%D0%9C%D0%9F%D0%90%D0%A1&amp;veaction=edit&amp;section=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______Microsoft_Excel_97-20034.xls"/><Relationship Id="rId25" Type="http://schemas.openxmlformats.org/officeDocument/2006/relationships/hyperlink" Target="https://uk.wikipedia.org/wiki/%D0%A6%D0%B8%D0%BB%D1%96%D0%BD%D0%B4%D1%80" TargetMode="External"/><Relationship Id="rId33" Type="http://schemas.openxmlformats.org/officeDocument/2006/relationships/hyperlink" Target="https://uk.wikipedia.org/wiki/%D0%90%D1%80%D1%85%D1%96%D1%82%D0%B5%D0%BA%D1%82%D1%83%D1%80%D0%B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uk.wikipedia.org/wiki/%D0%91%D1%83%D0%B4%D1%96%D0%B2%D0%BB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Microsoft_Excel_97-20031.xls"/><Relationship Id="rId24" Type="http://schemas.openxmlformats.org/officeDocument/2006/relationships/hyperlink" Target="https://uk.wikipedia.org/wiki/%D0%9F%D0%B0%D1%80%D0%B0%D0%BB%D0%B5%D0%BB%D0%B5%D0%BF%D1%96%D0%BF%D0%B5%D0%B4" TargetMode="External"/><Relationship Id="rId32" Type="http://schemas.openxmlformats.org/officeDocument/2006/relationships/hyperlink" Target="https://uk.wikipedia.org/wiki/%D0%91%D1%83%D0%B4%D1%96%D0%B2%D0%BD%D0%B8%D1%86%D1%82%D0%B2%D0%B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Microsoft_Excel_97-20033.xls"/><Relationship Id="rId23" Type="http://schemas.openxmlformats.org/officeDocument/2006/relationships/hyperlink" Target="https://uk.wikipedia.org/wiki/%D0%86%D0%BD%D1%82%D0%B5%D1%80%D1%84%D0%B5%D0%B9%D1%81" TargetMode="External"/><Relationship Id="rId28" Type="http://schemas.openxmlformats.org/officeDocument/2006/relationships/hyperlink" Target="https://uk.wikipedia.org/wiki/%D0%92%D0%B8%D1%80%D1%96%D0%B1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______Microsoft_Excel_97-20035.xls"/><Relationship Id="rId31" Type="http://schemas.openxmlformats.org/officeDocument/2006/relationships/hyperlink" Target="https://uk.wikipedia.org/wiki/%D0%9F%D1%80%D0%B8%D0%BB%D0%B0%D0%B4%D0%BE%D0%B1%D1%83%D0%B4%D1%83%D0%B2%D0%B0%D0%BD%D0%BD%D1%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Microsoft_Excel_97-2003.xls"/><Relationship Id="rId14" Type="http://schemas.openxmlformats.org/officeDocument/2006/relationships/image" Target="media/image4.png"/><Relationship Id="rId22" Type="http://schemas.openxmlformats.org/officeDocument/2006/relationships/hyperlink" Target="https://uk.wikipedia.org/wiki/%D0%93%D1%80%D0%B0%D1%84%D1%96%D1%87%D0%BD%D0%B8%D0%B9_%D1%80%D0%B5%D0%B4%D0%B0%D0%BA%D1%82%D0%BE%D1%80" TargetMode="External"/><Relationship Id="rId27" Type="http://schemas.openxmlformats.org/officeDocument/2006/relationships/hyperlink" Target="https://uk.wikipedia.org/wiki/%D0%92%D1%83%D0%B7%D0%BE%D0%BB" TargetMode="External"/><Relationship Id="rId30" Type="http://schemas.openxmlformats.org/officeDocument/2006/relationships/hyperlink" Target="https://uk.wikipedia.org/wiki/%D0%9C%D0%B0%D1%88%D0%B8%D0%BD%D0%BE%D0%B1%D1%83%D0%B4%D1%83%D0%B2%D0%B0%D0%BD%D0%BD%D1%8F" TargetMode="External"/><Relationship Id="rId35" Type="http://schemas.openxmlformats.org/officeDocument/2006/relationships/hyperlink" Target="https://uk.wikipedia.org/w/index.php?title=%D0%9A%D0%9E%D0%9C%D0%9F%D0%90%D0%A1&amp;action=edit&amp;section=3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4F1-FA45-4EC5-9D00-38A32FC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24</Pages>
  <Words>30803</Words>
  <Characters>17558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Ekonom_PC</dc:creator>
  <cp:keywords/>
  <dc:description/>
  <cp:lastModifiedBy>Ekonom_PC</cp:lastModifiedBy>
  <cp:revision>100</cp:revision>
  <cp:lastPrinted>2020-02-21T08:45:00Z</cp:lastPrinted>
  <dcterms:created xsi:type="dcterms:W3CDTF">2019-02-19T09:46:00Z</dcterms:created>
  <dcterms:modified xsi:type="dcterms:W3CDTF">2020-02-27T12:49:00Z</dcterms:modified>
</cp:coreProperties>
</file>